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87B6B">
      <w:pPr>
        <w:keepNext w:val="0"/>
        <w:keepLines w:val="0"/>
        <w:pageBreakBefore w:val="0"/>
        <w:widowControl w:val="0"/>
        <w:kinsoku w:val="0"/>
        <w:wordWrap/>
        <w:overflowPunct w:val="0"/>
        <w:topLinePunct w:val="0"/>
        <w:autoSpaceDE w:val="0"/>
        <w:autoSpaceDN w:val="0"/>
        <w:bidi w:val="0"/>
        <w:adjustRightInd/>
        <w:snapToGrid/>
        <w:spacing w:before="200" w:after="200" w:line="360" w:lineRule="auto"/>
        <w:ind w:left="0" w:leftChars="0" w:firstLine="0" w:firstLineChars="0"/>
        <w:jc w:val="center"/>
        <w:textAlignment w:val="auto"/>
        <w:rPr>
          <w:rFonts w:hint="eastAsia" w:ascii="楷体_GB2312" w:hAnsi="楷体_GB2312" w:eastAsia="楷体_GB2312" w:cs="楷体_GB2312"/>
          <w:b/>
          <w:bCs/>
          <w:sz w:val="36"/>
          <w:szCs w:val="36"/>
          <w:lang w:val="en-US" w:eastAsia="zh-CN"/>
        </w:rPr>
      </w:pPr>
    </w:p>
    <w:p w14:paraId="125584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3" w:firstLineChars="200"/>
        <w:jc w:val="center"/>
        <w:textAlignment w:val="auto"/>
        <w:outlineLvl w:val="1"/>
        <w:rPr>
          <w:rFonts w:hint="eastAsia" w:eastAsia="楷体" w:cs="Times New Roman"/>
          <w:b/>
          <w:bCs/>
          <w:sz w:val="36"/>
          <w:szCs w:val="36"/>
          <w:highlight w:val="none"/>
          <w:u w:val="none"/>
          <w:lang w:val="en-US" w:eastAsia="zh-CN"/>
        </w:rPr>
      </w:pPr>
      <w:r>
        <w:rPr>
          <w:rFonts w:hint="eastAsia" w:eastAsia="楷体" w:cs="Times New Roman"/>
          <w:b/>
          <w:bCs/>
          <w:sz w:val="36"/>
          <w:szCs w:val="36"/>
          <w:highlight w:val="none"/>
          <w:u w:val="none"/>
          <w:lang w:val="en-US" w:eastAsia="zh-CN"/>
        </w:rPr>
        <w:t>安 康 市 统 计 局 2023 年 度 统 计 业 务工作经费</w:t>
      </w:r>
    </w:p>
    <w:p w14:paraId="614556B8">
      <w:pPr>
        <w:pStyle w:val="7"/>
        <w:bidi w:val="0"/>
        <w:ind w:left="0" w:leftChars="0" w:firstLine="0" w:firstLineChars="0"/>
        <w:jc w:val="center"/>
        <w:rPr>
          <w:rFonts w:hint="eastAsia"/>
          <w:sz w:val="72"/>
          <w:szCs w:val="72"/>
          <w:lang w:eastAsia="zh-CN"/>
        </w:rPr>
      </w:pPr>
      <w:r>
        <w:rPr>
          <w:rFonts w:hint="eastAsia"/>
          <w:sz w:val="72"/>
          <w:szCs w:val="72"/>
          <w:lang w:eastAsia="zh-CN"/>
        </w:rPr>
        <w:t>绩</w:t>
      </w:r>
      <w:r>
        <w:rPr>
          <w:rFonts w:hint="eastAsia"/>
          <w:sz w:val="72"/>
          <w:szCs w:val="72"/>
          <w:lang w:val="en-US" w:eastAsia="zh-CN"/>
        </w:rPr>
        <w:t xml:space="preserve"> </w:t>
      </w:r>
      <w:r>
        <w:rPr>
          <w:rFonts w:hint="eastAsia"/>
          <w:sz w:val="72"/>
          <w:szCs w:val="72"/>
          <w:lang w:eastAsia="zh-CN"/>
        </w:rPr>
        <w:t>效</w:t>
      </w:r>
      <w:r>
        <w:rPr>
          <w:rFonts w:hint="eastAsia"/>
          <w:sz w:val="72"/>
          <w:szCs w:val="72"/>
          <w:lang w:val="en-US" w:eastAsia="zh-CN"/>
        </w:rPr>
        <w:t xml:space="preserve"> </w:t>
      </w:r>
      <w:r>
        <w:rPr>
          <w:rFonts w:hint="eastAsia"/>
          <w:sz w:val="72"/>
          <w:szCs w:val="72"/>
          <w:lang w:eastAsia="zh-CN"/>
        </w:rPr>
        <w:t>评</w:t>
      </w:r>
      <w:r>
        <w:rPr>
          <w:rFonts w:hint="eastAsia"/>
          <w:sz w:val="72"/>
          <w:szCs w:val="72"/>
          <w:lang w:val="en-US" w:eastAsia="zh-CN"/>
        </w:rPr>
        <w:t xml:space="preserve"> </w:t>
      </w:r>
      <w:r>
        <w:rPr>
          <w:rFonts w:hint="eastAsia"/>
          <w:sz w:val="72"/>
          <w:szCs w:val="72"/>
          <w:lang w:eastAsia="zh-CN"/>
        </w:rPr>
        <w:t>价</w:t>
      </w:r>
      <w:r>
        <w:rPr>
          <w:rFonts w:hint="eastAsia"/>
          <w:sz w:val="72"/>
          <w:szCs w:val="72"/>
          <w:lang w:val="en-US" w:eastAsia="zh-CN"/>
        </w:rPr>
        <w:t xml:space="preserve"> </w:t>
      </w:r>
      <w:r>
        <w:rPr>
          <w:rFonts w:hint="eastAsia"/>
          <w:sz w:val="72"/>
          <w:szCs w:val="72"/>
          <w:lang w:eastAsia="zh-CN"/>
        </w:rPr>
        <w:t>报</w:t>
      </w:r>
      <w:r>
        <w:rPr>
          <w:rFonts w:hint="eastAsia"/>
          <w:sz w:val="72"/>
          <w:szCs w:val="72"/>
          <w:lang w:val="en-US" w:eastAsia="zh-CN"/>
        </w:rPr>
        <w:t xml:space="preserve"> </w:t>
      </w:r>
      <w:r>
        <w:rPr>
          <w:rFonts w:hint="eastAsia"/>
          <w:sz w:val="72"/>
          <w:szCs w:val="72"/>
          <w:lang w:eastAsia="zh-CN"/>
        </w:rPr>
        <w:t>告</w:t>
      </w:r>
    </w:p>
    <w:p w14:paraId="13F5B798">
      <w:pPr>
        <w:pStyle w:val="5"/>
        <w:tabs>
          <w:tab w:val="left" w:pos="3756"/>
        </w:tabs>
        <w:bidi w:val="0"/>
        <w:rPr>
          <w:rFonts w:hint="eastAsia" w:eastAsia="楷体"/>
          <w:lang w:eastAsia="zh-CN"/>
        </w:rPr>
      </w:pPr>
    </w:p>
    <w:p w14:paraId="6A7710F0">
      <w:pPr>
        <w:tabs>
          <w:tab w:val="left" w:pos="6757"/>
        </w:tabs>
        <w:snapToGrid w:val="0"/>
        <w:spacing w:line="560" w:lineRule="exact"/>
        <w:jc w:val="left"/>
        <w:rPr>
          <w:rFonts w:hint="eastAsia" w:ascii="Times New Roman" w:hAnsi="Times New Roman" w:eastAsia="方正小标宋简体" w:cs="Times New Roman"/>
          <w:sz w:val="44"/>
          <w:szCs w:val="44"/>
          <w:lang w:eastAsia="zh-CN"/>
        </w:rPr>
      </w:pPr>
    </w:p>
    <w:p w14:paraId="7B49B147">
      <w:pPr>
        <w:snapToGrid w:val="0"/>
        <w:spacing w:line="560" w:lineRule="exact"/>
        <w:jc w:val="center"/>
        <w:rPr>
          <w:rFonts w:ascii="Times New Roman" w:hAnsi="Times New Roman" w:eastAsia="方正小标宋简体" w:cs="Times New Roman"/>
          <w:sz w:val="44"/>
          <w:szCs w:val="44"/>
        </w:rPr>
      </w:pPr>
    </w:p>
    <w:p w14:paraId="3BA21830">
      <w:pPr>
        <w:snapToGrid w:val="0"/>
        <w:spacing w:line="560" w:lineRule="exact"/>
        <w:jc w:val="center"/>
        <w:rPr>
          <w:rFonts w:ascii="Times New Roman" w:hAnsi="Times New Roman" w:eastAsia="方正小标宋简体" w:cs="Times New Roman"/>
          <w:sz w:val="44"/>
          <w:szCs w:val="44"/>
        </w:rPr>
      </w:pPr>
    </w:p>
    <w:p w14:paraId="0E72329A">
      <w:pPr>
        <w:snapToGrid w:val="0"/>
        <w:spacing w:line="560" w:lineRule="exact"/>
        <w:jc w:val="center"/>
        <w:rPr>
          <w:rFonts w:ascii="Times New Roman" w:hAnsi="Times New Roman" w:eastAsia="方正小标宋简体" w:cs="Times New Roman"/>
          <w:sz w:val="44"/>
          <w:szCs w:val="44"/>
        </w:rPr>
      </w:pPr>
    </w:p>
    <w:p w14:paraId="0D3687AF">
      <w:pPr>
        <w:snapToGrid w:val="0"/>
        <w:spacing w:line="560" w:lineRule="exact"/>
        <w:jc w:val="center"/>
        <w:rPr>
          <w:rFonts w:ascii="Times New Roman" w:hAnsi="Times New Roman" w:eastAsia="方正小标宋简体" w:cs="Times New Roman"/>
          <w:sz w:val="44"/>
          <w:szCs w:val="44"/>
        </w:rPr>
      </w:pPr>
    </w:p>
    <w:p w14:paraId="49733C07">
      <w:pPr>
        <w:snapToGrid w:val="0"/>
        <w:spacing w:line="560" w:lineRule="exact"/>
        <w:jc w:val="center"/>
        <w:rPr>
          <w:rFonts w:ascii="Times New Roman" w:hAnsi="Times New Roman" w:eastAsia="方正小标宋简体" w:cs="Times New Roman"/>
          <w:sz w:val="44"/>
          <w:szCs w:val="44"/>
        </w:rPr>
      </w:pPr>
    </w:p>
    <w:p w14:paraId="75B04E98">
      <w:pPr>
        <w:snapToGrid w:val="0"/>
        <w:spacing w:line="560" w:lineRule="exact"/>
        <w:jc w:val="center"/>
        <w:rPr>
          <w:rFonts w:ascii="Times New Roman" w:hAnsi="Times New Roman" w:eastAsia="方正小标宋简体" w:cs="Times New Roman"/>
          <w:sz w:val="44"/>
          <w:szCs w:val="44"/>
        </w:rPr>
      </w:pPr>
    </w:p>
    <w:p w14:paraId="07499324">
      <w:pPr>
        <w:snapToGrid w:val="0"/>
        <w:spacing w:line="560" w:lineRule="exact"/>
        <w:jc w:val="center"/>
        <w:rPr>
          <w:rFonts w:ascii="Times New Roman" w:hAnsi="Times New Roman" w:eastAsia="方正小标宋简体" w:cs="Times New Roman"/>
          <w:sz w:val="44"/>
          <w:szCs w:val="44"/>
        </w:rPr>
      </w:pPr>
    </w:p>
    <w:p w14:paraId="4F13622F">
      <w:pPr>
        <w:snapToGrid w:val="0"/>
        <w:spacing w:line="560" w:lineRule="exact"/>
        <w:jc w:val="center"/>
        <w:rPr>
          <w:rFonts w:ascii="Times New Roman" w:hAnsi="Times New Roman" w:eastAsia="方正小标宋简体" w:cs="Times New Roman"/>
          <w:sz w:val="44"/>
          <w:szCs w:val="44"/>
        </w:rPr>
      </w:pPr>
    </w:p>
    <w:p w14:paraId="688820E7">
      <w:pPr>
        <w:snapToGrid w:val="0"/>
        <w:spacing w:line="560" w:lineRule="exact"/>
        <w:jc w:val="center"/>
        <w:rPr>
          <w:rFonts w:ascii="Times New Roman" w:hAnsi="Times New Roman" w:eastAsia="方正小标宋简体" w:cs="Times New Roman"/>
          <w:sz w:val="44"/>
          <w:szCs w:val="44"/>
        </w:rPr>
      </w:pPr>
    </w:p>
    <w:p w14:paraId="5AE56374">
      <w:pPr>
        <w:rPr>
          <w:rFonts w:hint="default" w:eastAsia="宋体"/>
          <w:lang w:val="en-US" w:eastAsia="zh-CN"/>
        </w:rPr>
      </w:pPr>
    </w:p>
    <w:p w14:paraId="39E4C493">
      <w:pPr>
        <w:pStyle w:val="8"/>
        <w:ind w:left="0" w:leftChars="0" w:firstLine="0" w:firstLineChars="0"/>
        <w:jc w:val="left"/>
        <w:rPr>
          <w:rFonts w:hint="eastAsia" w:ascii="楷体" w:hAnsi="楷体" w:eastAsia="楷体" w:cs="楷体"/>
          <w:b/>
          <w:bCs/>
          <w:color w:val="auto"/>
          <w:sz w:val="36"/>
          <w:szCs w:val="36"/>
          <w:highlight w:val="none"/>
          <w:lang w:val="en-US" w:eastAsia="zh-CN"/>
        </w:rPr>
      </w:pPr>
      <w:r>
        <w:rPr>
          <w:rFonts w:hint="eastAsia" w:ascii="楷体" w:hAnsi="楷体" w:eastAsia="楷体" w:cs="楷体"/>
          <w:b/>
          <w:bCs/>
          <w:sz w:val="36"/>
          <w:szCs w:val="36"/>
          <w:highlight w:val="none"/>
          <w:lang w:val="en-US" w:eastAsia="zh-CN"/>
        </w:rPr>
        <w:t xml:space="preserve">　  </w:t>
      </w:r>
      <w:r>
        <w:rPr>
          <w:rFonts w:hint="eastAsia" w:ascii="楷体" w:hAnsi="楷体" w:eastAsia="楷体" w:cs="楷体"/>
          <w:b/>
          <w:bCs/>
          <w:color w:val="auto"/>
          <w:sz w:val="36"/>
          <w:szCs w:val="36"/>
          <w:highlight w:val="none"/>
          <w:lang w:val="en-US" w:eastAsia="zh-CN"/>
        </w:rPr>
        <w:t>被评价</w:t>
      </w:r>
      <w:r>
        <w:rPr>
          <w:rFonts w:hint="eastAsia" w:ascii="楷体" w:hAnsi="楷体" w:eastAsia="楷体" w:cs="楷体"/>
          <w:b/>
          <w:bCs/>
          <w:color w:val="auto"/>
          <w:sz w:val="36"/>
          <w:szCs w:val="36"/>
          <w:highlight w:val="none"/>
          <w:lang w:eastAsia="zh-CN"/>
        </w:rPr>
        <w:t>部门：</w:t>
      </w:r>
      <w:r>
        <w:rPr>
          <w:rFonts w:hint="eastAsia" w:ascii="楷体" w:hAnsi="楷体" w:eastAsia="楷体" w:cs="楷体"/>
          <w:b/>
          <w:bCs/>
          <w:color w:val="auto"/>
          <w:sz w:val="36"/>
          <w:szCs w:val="36"/>
          <w:highlight w:val="none"/>
          <w:u w:val="single"/>
          <w:lang w:val="en-US" w:eastAsia="zh-CN"/>
        </w:rPr>
        <w:t>安康市统计局</w:t>
      </w:r>
      <w:r>
        <w:rPr>
          <w:rFonts w:hint="eastAsia" w:ascii="楷体" w:hAnsi="楷体" w:eastAsia="楷体" w:cs="楷体"/>
          <w:b/>
          <w:bCs/>
          <w:color w:val="auto"/>
          <w:sz w:val="36"/>
          <w:szCs w:val="36"/>
          <w:highlight w:val="none"/>
          <w:u w:val="single"/>
          <w:lang w:eastAsia="zh-CN"/>
        </w:rPr>
        <w:t xml:space="preserve">   </w:t>
      </w:r>
      <w:r>
        <w:rPr>
          <w:rFonts w:hint="eastAsia" w:ascii="楷体" w:hAnsi="楷体" w:eastAsia="楷体" w:cs="楷体"/>
          <w:b/>
          <w:bCs/>
          <w:color w:val="auto"/>
          <w:sz w:val="36"/>
          <w:szCs w:val="36"/>
          <w:highlight w:val="none"/>
          <w:u w:val="single"/>
          <w:lang w:val="en-US" w:eastAsia="zh-CN"/>
        </w:rPr>
        <w:t xml:space="preserve">       </w:t>
      </w:r>
      <w:r>
        <w:rPr>
          <w:rFonts w:hint="eastAsia" w:ascii="楷体" w:hAnsi="楷体" w:eastAsia="楷体" w:cs="楷体"/>
          <w:b/>
          <w:bCs/>
          <w:color w:val="auto"/>
          <w:sz w:val="36"/>
          <w:szCs w:val="36"/>
          <w:highlight w:val="none"/>
          <w:lang w:val="en-US" w:eastAsia="zh-CN"/>
        </w:rPr>
        <w:t xml:space="preserve">    </w:t>
      </w:r>
    </w:p>
    <w:p w14:paraId="676356D3">
      <w:pPr>
        <w:pStyle w:val="8"/>
        <w:ind w:left="0" w:leftChars="0" w:firstLine="0" w:firstLineChars="0"/>
        <w:jc w:val="left"/>
        <w:rPr>
          <w:rFonts w:hint="eastAsia" w:ascii="楷体" w:hAnsi="楷体" w:eastAsia="楷体" w:cs="楷体"/>
          <w:b/>
          <w:bCs/>
          <w:color w:val="auto"/>
          <w:sz w:val="36"/>
          <w:szCs w:val="36"/>
          <w:highlight w:val="none"/>
          <w:lang w:val="en-US" w:eastAsia="zh-CN"/>
        </w:rPr>
      </w:pPr>
      <w:r>
        <w:rPr>
          <w:rFonts w:hint="eastAsia" w:ascii="楷体" w:hAnsi="楷体" w:eastAsia="楷体" w:cs="楷体"/>
          <w:b/>
          <w:bCs/>
          <w:color w:val="auto"/>
          <w:sz w:val="36"/>
          <w:szCs w:val="36"/>
          <w:highlight w:val="none"/>
          <w:lang w:eastAsia="zh-CN"/>
        </w:rPr>
        <w:t>　　评</w:t>
      </w:r>
      <w:r>
        <w:rPr>
          <w:rFonts w:hint="eastAsia" w:ascii="楷体" w:hAnsi="楷体" w:eastAsia="楷体" w:cs="楷体"/>
          <w:b/>
          <w:bCs/>
          <w:color w:val="auto"/>
          <w:sz w:val="36"/>
          <w:szCs w:val="36"/>
          <w:highlight w:val="none"/>
          <w:lang w:val="en-US" w:eastAsia="zh-CN"/>
        </w:rPr>
        <w:t xml:space="preserve"> </w:t>
      </w:r>
      <w:r>
        <w:rPr>
          <w:rFonts w:hint="eastAsia" w:ascii="楷体" w:hAnsi="楷体" w:eastAsia="楷体" w:cs="楷体"/>
          <w:b/>
          <w:bCs/>
          <w:color w:val="auto"/>
          <w:sz w:val="36"/>
          <w:szCs w:val="36"/>
          <w:highlight w:val="none"/>
          <w:lang w:eastAsia="zh-CN"/>
        </w:rPr>
        <w:t>价</w:t>
      </w:r>
      <w:r>
        <w:rPr>
          <w:rFonts w:hint="eastAsia" w:ascii="楷体" w:hAnsi="楷体" w:eastAsia="楷体" w:cs="楷体"/>
          <w:b/>
          <w:bCs/>
          <w:color w:val="auto"/>
          <w:sz w:val="36"/>
          <w:szCs w:val="36"/>
          <w:highlight w:val="none"/>
          <w:lang w:val="en-US" w:eastAsia="zh-CN"/>
        </w:rPr>
        <w:t xml:space="preserve"> </w:t>
      </w:r>
      <w:r>
        <w:rPr>
          <w:rFonts w:hint="eastAsia" w:ascii="楷体" w:hAnsi="楷体" w:eastAsia="楷体" w:cs="楷体"/>
          <w:b/>
          <w:bCs/>
          <w:color w:val="auto"/>
          <w:sz w:val="36"/>
          <w:szCs w:val="36"/>
          <w:highlight w:val="none"/>
          <w:lang w:eastAsia="zh-CN"/>
        </w:rPr>
        <w:t>单</w:t>
      </w:r>
      <w:r>
        <w:rPr>
          <w:rFonts w:hint="eastAsia" w:ascii="楷体" w:hAnsi="楷体" w:eastAsia="楷体" w:cs="楷体"/>
          <w:b/>
          <w:bCs/>
          <w:color w:val="auto"/>
          <w:sz w:val="36"/>
          <w:szCs w:val="36"/>
          <w:highlight w:val="none"/>
          <w:lang w:val="en-US" w:eastAsia="zh-CN"/>
        </w:rPr>
        <w:t xml:space="preserve"> </w:t>
      </w:r>
      <w:r>
        <w:rPr>
          <w:rFonts w:hint="eastAsia" w:ascii="楷体" w:hAnsi="楷体" w:eastAsia="楷体" w:cs="楷体"/>
          <w:b/>
          <w:bCs/>
          <w:color w:val="auto"/>
          <w:sz w:val="36"/>
          <w:szCs w:val="36"/>
          <w:highlight w:val="none"/>
          <w:lang w:eastAsia="zh-CN"/>
        </w:rPr>
        <w:t>位：</w:t>
      </w:r>
      <w:r>
        <w:rPr>
          <w:rFonts w:hint="eastAsia" w:ascii="楷体" w:hAnsi="楷体" w:eastAsia="楷体" w:cs="楷体"/>
          <w:b/>
          <w:bCs/>
          <w:color w:val="auto"/>
          <w:sz w:val="36"/>
          <w:szCs w:val="36"/>
          <w:highlight w:val="none"/>
          <w:u w:val="single"/>
          <w:lang w:eastAsia="zh-CN"/>
        </w:rPr>
        <w:t>安康市财政投资评审中心</w:t>
      </w:r>
      <w:r>
        <w:rPr>
          <w:rFonts w:hint="eastAsia" w:ascii="楷体" w:hAnsi="楷体" w:eastAsia="楷体" w:cs="楷体"/>
          <w:b/>
          <w:bCs/>
          <w:color w:val="auto"/>
          <w:sz w:val="36"/>
          <w:szCs w:val="36"/>
          <w:highlight w:val="none"/>
          <w:lang w:val="en-US" w:eastAsia="zh-CN"/>
        </w:rPr>
        <w:t xml:space="preserve">    </w:t>
      </w:r>
    </w:p>
    <w:p w14:paraId="52BFE587">
      <w:pPr>
        <w:pStyle w:val="8"/>
        <w:ind w:left="0" w:leftChars="0" w:firstLine="0" w:firstLineChars="0"/>
        <w:jc w:val="left"/>
        <w:rPr>
          <w:rFonts w:hint="eastAsia" w:ascii="楷体" w:hAnsi="楷体" w:eastAsia="楷体" w:cs="楷体"/>
          <w:b/>
          <w:bCs/>
          <w:color w:val="auto"/>
          <w:sz w:val="36"/>
          <w:szCs w:val="36"/>
          <w:highlight w:val="none"/>
          <w:u w:val="single"/>
          <w:lang w:val="en-US" w:eastAsia="zh-CN"/>
        </w:rPr>
      </w:pPr>
      <w:r>
        <w:rPr>
          <w:rFonts w:hint="eastAsia" w:ascii="楷体" w:hAnsi="楷体" w:eastAsia="楷体" w:cs="楷体"/>
          <w:b/>
          <w:bCs/>
          <w:color w:val="auto"/>
          <w:sz w:val="36"/>
          <w:szCs w:val="36"/>
          <w:highlight w:val="none"/>
          <w:lang w:val="en-US" w:eastAsia="zh-CN"/>
        </w:rPr>
        <w:t>　　提 交 日 期</w:t>
      </w:r>
      <w:r>
        <w:rPr>
          <w:rFonts w:hint="eastAsia" w:ascii="楷体" w:hAnsi="楷体" w:eastAsia="楷体" w:cs="楷体"/>
          <w:b/>
          <w:bCs/>
          <w:color w:val="auto"/>
          <w:sz w:val="36"/>
          <w:szCs w:val="36"/>
          <w:highlight w:val="none"/>
          <w:lang w:eastAsia="zh-CN"/>
        </w:rPr>
        <w:t>：</w:t>
      </w:r>
      <w:r>
        <w:rPr>
          <w:rFonts w:hint="eastAsia" w:ascii="楷体" w:hAnsi="楷体" w:eastAsia="楷体" w:cs="楷体"/>
          <w:b/>
          <w:bCs/>
          <w:color w:val="auto"/>
          <w:sz w:val="36"/>
          <w:szCs w:val="36"/>
          <w:highlight w:val="none"/>
          <w:u w:val="single"/>
          <w:lang w:val="en-US" w:eastAsia="zh-CN"/>
        </w:rPr>
        <w:t xml:space="preserve">2024年8月           </w:t>
      </w:r>
    </w:p>
    <w:p w14:paraId="17AF21E4">
      <w:pPr>
        <w:ind w:left="0" w:leftChars="0" w:firstLine="0" w:firstLineChars="0"/>
        <w:jc w:val="both"/>
        <w:rPr>
          <w:rFonts w:hint="eastAsia" w:ascii="楷体_GB2312" w:hAnsi="楷体_GB2312" w:eastAsia="楷体_GB2312" w:cs="楷体_GB2312"/>
          <w:b/>
          <w:bCs/>
          <w:sz w:val="72"/>
          <w:szCs w:val="72"/>
          <w:highlight w:val="yellow"/>
          <w:u w:val="single"/>
          <w:lang w:val="en-US" w:eastAsia="zh-CN"/>
        </w:rPr>
      </w:pPr>
    </w:p>
    <w:p w14:paraId="62D23BCD">
      <w:pPr>
        <w:keepNext w:val="0"/>
        <w:keepLines w:val="0"/>
        <w:pageBreakBefore w:val="0"/>
        <w:widowControl w:val="0"/>
        <w:kinsoku/>
        <w:wordWrap/>
        <w:overflowPunct/>
        <w:topLinePunct w:val="0"/>
        <w:autoSpaceDE/>
        <w:autoSpaceDN/>
        <w:bidi w:val="0"/>
        <w:adjustRightInd/>
        <w:snapToGrid/>
        <w:spacing w:before="520" w:beforeLines="0" w:after="360" w:afterLines="0" w:line="240" w:lineRule="auto"/>
        <w:ind w:left="0" w:leftChars="0" w:right="0" w:rightChars="0" w:firstLine="0" w:firstLineChars="0"/>
        <w:jc w:val="center"/>
        <w:textAlignment w:val="auto"/>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r>
        <w:fldChar w:fldCharType="begin"/>
      </w:r>
      <w:r>
        <w:instrText xml:space="preserve">TOC \o "1-2" \h \u </w:instrText>
      </w:r>
      <w:r>
        <w:fldChar w:fldCharType="separate"/>
      </w:r>
    </w:p>
    <w:p w14:paraId="0C487B40">
      <w:pPr>
        <w:pStyle w:val="11"/>
        <w:tabs>
          <w:tab w:val="right" w:leader="dot" w:pos="8306"/>
        </w:tabs>
        <w:ind w:left="0" w:leftChars="0" w:firstLine="0" w:firstLineChars="0"/>
        <w:jc w:val="both"/>
        <w:rPr>
          <w:rFonts w:hint="eastAsia" w:ascii="仿宋_GB2312" w:hAnsi="仿宋_GB2312" w:eastAsia="仿宋_GB2312" w:cs="仿宋_GB2312"/>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HYPERLINK \l _Toc3825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一、基本情况</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_Toc3825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1</w:t>
      </w:r>
      <w:r>
        <w:rPr>
          <w:rFonts w:hint="eastAsia" w:ascii="仿宋_GB2312" w:hAnsi="仿宋_GB2312" w:eastAsia="仿宋_GB2312" w:cs="仿宋_GB2312"/>
          <w:b/>
          <w:bCs/>
        </w:rPr>
        <w:fldChar w:fldCharType="end"/>
      </w:r>
      <w:r>
        <w:rPr>
          <w:rFonts w:hint="eastAsia" w:ascii="仿宋_GB2312" w:hAnsi="仿宋_GB2312" w:eastAsia="仿宋_GB2312" w:cs="仿宋_GB2312"/>
          <w:b/>
          <w:bCs/>
        </w:rPr>
        <w:fldChar w:fldCharType="end"/>
      </w:r>
    </w:p>
    <w:p w14:paraId="39A295DC">
      <w:pPr>
        <w:pStyle w:val="12"/>
        <w:tabs>
          <w:tab w:val="right" w:leader="dot" w:pos="8306"/>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_Toc9814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highlight w:val="none"/>
          <w:lang w:eastAsia="zh-CN"/>
        </w:rPr>
        <w:t>（一）项目概况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3CD1FD16">
      <w:pPr>
        <w:pStyle w:val="12"/>
        <w:tabs>
          <w:tab w:val="right" w:leader="dot" w:pos="8306"/>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_Toc27053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highlight w:val="none"/>
          <w:lang w:eastAsia="zh-CN"/>
        </w:rPr>
        <w:t>（二）项目绩效目标</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_Toc27053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41EA412D">
      <w:pPr>
        <w:pStyle w:val="11"/>
        <w:tabs>
          <w:tab w:val="right" w:leader="dot" w:pos="8306"/>
        </w:tabs>
        <w:ind w:left="0" w:leftChars="0" w:firstLine="0" w:firstLineChars="0"/>
        <w:jc w:val="both"/>
        <w:rPr>
          <w:rFonts w:hint="eastAsia" w:ascii="仿宋_GB2312" w:hAnsi="仿宋_GB2312" w:eastAsia="仿宋_GB2312" w:cs="仿宋_GB2312"/>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HYPERLINK \l _Toc4289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二、绩效评价工作开展情况</w:t>
      </w:r>
      <w:r>
        <w:rPr>
          <w:rFonts w:hint="eastAsia" w:ascii="仿宋_GB2312" w:hAnsi="仿宋_GB2312" w:eastAsia="仿宋_GB2312" w:cs="仿宋_GB2312"/>
          <w:b/>
          <w:bCs/>
        </w:rPr>
        <w:tab/>
      </w:r>
      <w:r>
        <w:rPr>
          <w:rFonts w:hint="eastAsia" w:ascii="仿宋_GB2312" w:hAnsi="仿宋_GB2312" w:cs="仿宋_GB2312"/>
          <w:b/>
          <w:bCs/>
          <w:lang w:val="en-US" w:eastAsia="zh-CN"/>
        </w:rPr>
        <w:t>3</w:t>
      </w:r>
      <w:r>
        <w:rPr>
          <w:rFonts w:hint="eastAsia" w:ascii="仿宋_GB2312" w:hAnsi="仿宋_GB2312" w:eastAsia="仿宋_GB2312" w:cs="仿宋_GB2312"/>
          <w:b/>
          <w:bCs/>
        </w:rPr>
        <w:fldChar w:fldCharType="end"/>
      </w:r>
    </w:p>
    <w:p w14:paraId="51BA1410">
      <w:pPr>
        <w:pStyle w:val="12"/>
        <w:tabs>
          <w:tab w:val="right" w:leader="dot" w:pos="8306"/>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_Toc24363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highlight w:val="none"/>
          <w:lang w:eastAsia="zh-CN"/>
        </w:rPr>
        <w:t>（一）绩效评价目的与重点</w:t>
      </w:r>
      <w:r>
        <w:rPr>
          <w:rFonts w:hint="eastAsia" w:ascii="仿宋_GB2312" w:hAnsi="仿宋_GB2312" w:eastAsia="仿宋_GB2312" w:cs="仿宋_GB2312"/>
        </w:rPr>
        <w:tab/>
      </w:r>
      <w:r>
        <w:rPr>
          <w:rFonts w:hint="eastAsia" w:ascii="仿宋_GB2312" w:hAnsi="仿宋_GB2312" w:cs="仿宋_GB2312"/>
          <w:lang w:val="en-US" w:eastAsia="zh-CN"/>
        </w:rPr>
        <w:t>3</w:t>
      </w:r>
      <w:r>
        <w:rPr>
          <w:rFonts w:hint="eastAsia" w:ascii="仿宋_GB2312" w:hAnsi="仿宋_GB2312" w:eastAsia="仿宋_GB2312" w:cs="仿宋_GB2312"/>
        </w:rPr>
        <w:fldChar w:fldCharType="end"/>
      </w:r>
    </w:p>
    <w:p w14:paraId="3A030F7C">
      <w:pPr>
        <w:pStyle w:val="12"/>
        <w:tabs>
          <w:tab w:val="right" w:leader="dot" w:pos="8306"/>
        </w:tabs>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_Toc9262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highlight w:val="none"/>
          <w:lang w:eastAsia="zh-CN"/>
        </w:rPr>
        <w:t>（二）绩效评价指标与方法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39F4DEEA">
      <w:pPr>
        <w:pStyle w:val="11"/>
        <w:tabs>
          <w:tab w:val="right" w:leader="dot" w:pos="8306"/>
        </w:tabs>
        <w:ind w:left="0" w:leftChars="0" w:firstLine="0" w:firstLineChars="0"/>
        <w:jc w:val="left"/>
        <w:rPr>
          <w:rFonts w:hint="eastAsia" w:ascii="仿宋_GB2312" w:hAnsi="仿宋_GB2312" w:eastAsia="仿宋_GB2312" w:cs="仿宋_GB2312"/>
          <w:b/>
          <w:bCs/>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HYPERLINK \l _Toc4819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lang w:val="en-US" w:eastAsia="zh-CN"/>
        </w:rPr>
        <w:t>三、综合评价情况及结论</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_Toc4819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3</w:t>
      </w:r>
      <w:r>
        <w:rPr>
          <w:rFonts w:hint="eastAsia" w:ascii="仿宋_GB2312" w:hAnsi="仿宋_GB2312" w:eastAsia="仿宋_GB2312" w:cs="仿宋_GB2312"/>
          <w:b/>
          <w:bCs/>
        </w:rPr>
        <w:fldChar w:fldCharType="end"/>
      </w:r>
      <w:r>
        <w:rPr>
          <w:rFonts w:hint="eastAsia" w:ascii="仿宋_GB2312" w:hAnsi="仿宋_GB2312" w:eastAsia="仿宋_GB2312" w:cs="仿宋_GB2312"/>
          <w:b/>
          <w:bCs/>
        </w:rPr>
        <w:fldChar w:fldCharType="end"/>
      </w:r>
    </w:p>
    <w:p w14:paraId="172CE003">
      <w:pPr>
        <w:pStyle w:val="11"/>
        <w:tabs>
          <w:tab w:val="right" w:leader="dot" w:pos="8306"/>
        </w:tabs>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HYPERLINK \l _Toc25228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绩效评价指标分析</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_Toc25228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4</w:t>
      </w:r>
      <w:r>
        <w:rPr>
          <w:rFonts w:hint="eastAsia" w:ascii="仿宋_GB2312" w:hAnsi="仿宋_GB2312" w:eastAsia="仿宋_GB2312" w:cs="仿宋_GB2312"/>
          <w:b/>
          <w:bCs/>
        </w:rPr>
        <w:fldChar w:fldCharType="end"/>
      </w:r>
      <w:r>
        <w:rPr>
          <w:rFonts w:hint="eastAsia" w:ascii="仿宋_GB2312" w:hAnsi="仿宋_GB2312" w:eastAsia="仿宋_GB2312" w:cs="仿宋_GB2312"/>
          <w:b/>
          <w:bCs/>
        </w:rPr>
        <w:fldChar w:fldCharType="end"/>
      </w:r>
    </w:p>
    <w:p w14:paraId="01A2587A">
      <w:pPr>
        <w:pStyle w:val="12"/>
        <w:tabs>
          <w:tab w:val="right" w:leader="dot" w:pos="8306"/>
        </w:tabs>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_Toc25178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highlight w:val="none"/>
          <w:lang w:eastAsia="zh-CN"/>
        </w:rPr>
        <w:t>（</w:t>
      </w:r>
      <w:r>
        <w:rPr>
          <w:rFonts w:hint="eastAsia" w:ascii="仿宋_GB2312" w:hAnsi="仿宋_GB2312" w:eastAsia="仿宋_GB2312" w:cs="仿宋_GB2312"/>
          <w:bCs/>
          <w:szCs w:val="32"/>
          <w:highlight w:val="none"/>
          <w:lang w:val="en-US" w:eastAsia="zh-CN"/>
        </w:rPr>
        <w:t>一</w:t>
      </w:r>
      <w:r>
        <w:rPr>
          <w:rFonts w:hint="eastAsia" w:ascii="仿宋_GB2312" w:hAnsi="仿宋_GB2312" w:eastAsia="仿宋_GB2312" w:cs="仿宋_GB2312"/>
          <w:bCs/>
          <w:szCs w:val="32"/>
          <w:highlight w:val="none"/>
          <w:lang w:eastAsia="zh-CN"/>
        </w:rPr>
        <w:t>）</w:t>
      </w:r>
      <w:r>
        <w:rPr>
          <w:rFonts w:hint="eastAsia" w:ascii="仿宋_GB2312" w:hAnsi="仿宋_GB2312" w:eastAsia="仿宋_GB2312" w:cs="仿宋_GB2312"/>
          <w:bCs/>
          <w:szCs w:val="32"/>
          <w:highlight w:val="none"/>
        </w:rPr>
        <w:t>项目决策情况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_Toc25178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180B6DCA">
      <w:pPr>
        <w:pStyle w:val="12"/>
        <w:tabs>
          <w:tab w:val="right" w:leader="dot" w:pos="8306"/>
        </w:tabs>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_Toc4149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val="0"/>
          <w:szCs w:val="32"/>
          <w:highlight w:val="none"/>
        </w:rPr>
        <w:t>（二）项目过程情况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_Toc4149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38B0846F">
      <w:pPr>
        <w:pStyle w:val="12"/>
        <w:tabs>
          <w:tab w:val="right" w:leader="dot" w:pos="8306"/>
        </w:tabs>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_Toc20545 </w:instrText>
      </w:r>
      <w:r>
        <w:rPr>
          <w:rFonts w:hint="eastAsia" w:ascii="仿宋_GB2312" w:hAnsi="仿宋_GB2312" w:eastAsia="仿宋_GB2312" w:cs="仿宋_GB2312"/>
        </w:rPr>
        <w:fldChar w:fldCharType="separate"/>
      </w:r>
      <w:r>
        <w:rPr>
          <w:rFonts w:hint="eastAsia" w:ascii="仿宋_GB2312" w:hAnsi="仿宋_GB2312" w:eastAsia="仿宋_GB2312" w:cs="仿宋_GB2312"/>
          <w:bCs w:val="0"/>
          <w:szCs w:val="32"/>
          <w:highlight w:val="none"/>
        </w:rPr>
        <w:t>（三）项目产出情况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_Toc20545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0758907F">
      <w:pPr>
        <w:pStyle w:val="12"/>
        <w:tabs>
          <w:tab w:val="right" w:leader="dot" w:pos="8306"/>
        </w:tabs>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_Toc32495 </w:instrText>
      </w:r>
      <w:r>
        <w:rPr>
          <w:rFonts w:hint="eastAsia" w:ascii="仿宋_GB2312" w:hAnsi="仿宋_GB2312" w:eastAsia="仿宋_GB2312" w:cs="仿宋_GB2312"/>
        </w:rPr>
        <w:fldChar w:fldCharType="separate"/>
      </w:r>
      <w:r>
        <w:rPr>
          <w:rFonts w:hint="eastAsia" w:ascii="仿宋_GB2312" w:hAnsi="仿宋_GB2312" w:eastAsia="仿宋_GB2312" w:cs="仿宋_GB2312"/>
          <w:bCs/>
          <w:kern w:val="0"/>
          <w:szCs w:val="32"/>
          <w:highlight w:val="none"/>
          <w:lang w:val="en-US" w:eastAsia="zh-CN" w:bidi="ar-SA"/>
        </w:rPr>
        <w:t>（四）项目效益情况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_Toc32495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14:paraId="02E07029">
      <w:pPr>
        <w:pStyle w:val="11"/>
        <w:tabs>
          <w:tab w:val="right" w:leader="dot" w:pos="8306"/>
        </w:tabs>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HYPERLINK \l _Toc28119 </w:instrText>
      </w:r>
      <w:r>
        <w:rPr>
          <w:rFonts w:hint="eastAsia" w:ascii="仿宋_GB2312" w:hAnsi="仿宋_GB2312" w:eastAsia="仿宋_GB2312" w:cs="仿宋_GB2312"/>
          <w:b/>
          <w:bCs/>
        </w:rPr>
        <w:fldChar w:fldCharType="separate"/>
      </w:r>
      <w:r>
        <w:rPr>
          <w:rFonts w:hint="eastAsia" w:ascii="仿宋_GB2312" w:hAnsi="仿宋_GB2312" w:cs="仿宋_GB2312"/>
          <w:b/>
          <w:bCs/>
          <w:lang w:val="en-US" w:eastAsia="zh-CN"/>
        </w:rPr>
        <w:t>五</w:t>
      </w:r>
      <w:r>
        <w:rPr>
          <w:rFonts w:hint="eastAsia" w:ascii="仿宋_GB2312" w:hAnsi="仿宋_GB2312" w:eastAsia="仿宋_GB2312" w:cs="仿宋_GB2312"/>
          <w:b/>
          <w:bCs/>
          <w:lang w:val="en-US" w:eastAsia="zh-CN"/>
        </w:rPr>
        <w:t>、</w:t>
      </w:r>
      <w:r>
        <w:rPr>
          <w:rFonts w:hint="eastAsia" w:ascii="仿宋_GB2312" w:hAnsi="仿宋_GB2312" w:eastAsia="仿宋_GB2312" w:cs="仿宋_GB2312"/>
          <w:b/>
          <w:bCs/>
        </w:rPr>
        <w:t>存在的问题及原因分析</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_Toc28119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11</w:t>
      </w:r>
      <w:r>
        <w:rPr>
          <w:rFonts w:hint="eastAsia" w:ascii="仿宋_GB2312" w:hAnsi="仿宋_GB2312" w:eastAsia="仿宋_GB2312" w:cs="仿宋_GB2312"/>
          <w:b/>
          <w:bCs/>
        </w:rPr>
        <w:fldChar w:fldCharType="end"/>
      </w:r>
      <w:r>
        <w:rPr>
          <w:rFonts w:hint="eastAsia" w:ascii="仿宋_GB2312" w:hAnsi="仿宋_GB2312" w:eastAsia="仿宋_GB2312" w:cs="仿宋_GB2312"/>
          <w:b/>
          <w:bCs/>
        </w:rPr>
        <w:fldChar w:fldCharType="end"/>
      </w:r>
    </w:p>
    <w:p w14:paraId="0D28F078">
      <w:pPr>
        <w:pStyle w:val="12"/>
        <w:tabs>
          <w:tab w:val="right" w:leader="dot" w:pos="8306"/>
        </w:tabs>
        <w:ind w:left="0" w:leftChars="0" w:firstLine="0" w:firstLineChars="0"/>
        <w:jc w:val="left"/>
        <w:rPr>
          <w:rFonts w:hint="eastAsia" w:ascii="仿宋_GB2312" w:hAnsi="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_Toc2954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val="en-US" w:eastAsia="zh-CN"/>
        </w:rPr>
        <w:t>（一）绩效管理水平有待提升</w:t>
      </w:r>
      <w:r>
        <w:rPr>
          <w:rFonts w:hint="eastAsia" w:ascii="仿宋_GB2312" w:hAnsi="仿宋_GB2312" w:eastAsia="仿宋_GB2312" w:cs="仿宋_GB2312"/>
        </w:rPr>
        <w:tab/>
      </w:r>
      <w:r>
        <w:rPr>
          <w:rFonts w:hint="eastAsia" w:ascii="仿宋_GB2312" w:hAnsi="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cs="仿宋_GB2312"/>
          <w:lang w:val="en-US" w:eastAsia="zh-CN"/>
        </w:rPr>
        <w:t>2</w:t>
      </w:r>
    </w:p>
    <w:p w14:paraId="35223215">
      <w:pPr>
        <w:pStyle w:val="12"/>
        <w:tabs>
          <w:tab w:val="right" w:leader="dot" w:pos="8306"/>
        </w:tabs>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_Toc25178 </w:instrText>
      </w:r>
      <w:r>
        <w:rPr>
          <w:rFonts w:hint="eastAsia" w:ascii="仿宋_GB2312" w:hAnsi="仿宋_GB2312" w:eastAsia="仿宋_GB2312" w:cs="仿宋_GB2312"/>
        </w:rPr>
        <w:fldChar w:fldCharType="separate"/>
      </w:r>
      <w:r>
        <w:rPr>
          <w:rFonts w:hint="eastAsia" w:ascii="仿宋_GB2312" w:hAnsi="仿宋_GB2312" w:eastAsia="仿宋_GB2312" w:cs="仿宋_GB2312"/>
          <w:bCs/>
          <w:szCs w:val="32"/>
          <w:highlight w:val="none"/>
          <w:lang w:eastAsia="zh-CN"/>
        </w:rPr>
        <w:t>（</w:t>
      </w:r>
      <w:r>
        <w:rPr>
          <w:rFonts w:hint="eastAsia" w:ascii="仿宋_GB2312" w:hAnsi="仿宋_GB2312" w:cs="仿宋_GB2312"/>
          <w:bCs/>
          <w:szCs w:val="32"/>
          <w:highlight w:val="none"/>
          <w:lang w:val="en-US" w:eastAsia="zh-CN"/>
        </w:rPr>
        <w:t>二</w:t>
      </w:r>
      <w:r>
        <w:rPr>
          <w:rFonts w:hint="eastAsia" w:ascii="仿宋_GB2312" w:hAnsi="仿宋_GB2312" w:eastAsia="仿宋_GB2312" w:cs="仿宋_GB2312"/>
          <w:bCs/>
          <w:szCs w:val="32"/>
          <w:highlight w:val="none"/>
          <w:lang w:eastAsia="zh-CN"/>
        </w:rPr>
        <w:t>）绩效目标设置不尽科学</w:t>
      </w:r>
      <w:r>
        <w:rPr>
          <w:rFonts w:hint="eastAsia" w:ascii="仿宋_GB2312" w:hAnsi="仿宋_GB2312" w:eastAsia="仿宋_GB2312" w:cs="仿宋_GB2312"/>
        </w:rPr>
        <w:tab/>
      </w:r>
      <w:r>
        <w:rPr>
          <w:rFonts w:hint="eastAsia" w:ascii="仿宋_GB2312" w:hAnsi="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cs="仿宋_GB2312"/>
          <w:lang w:val="en-US" w:eastAsia="zh-CN"/>
        </w:rPr>
        <w:t>2</w:t>
      </w:r>
    </w:p>
    <w:p w14:paraId="29CFF2AB">
      <w:pPr>
        <w:pStyle w:val="12"/>
        <w:tabs>
          <w:tab w:val="right" w:leader="dot" w:pos="8306"/>
        </w:tabs>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_Toc4149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val="0"/>
          <w:szCs w:val="32"/>
          <w:highlight w:val="none"/>
        </w:rPr>
        <w:t>（</w:t>
      </w:r>
      <w:r>
        <w:rPr>
          <w:rFonts w:hint="eastAsia" w:ascii="仿宋_GB2312" w:hAnsi="仿宋_GB2312" w:cs="仿宋_GB2312"/>
          <w:bCs w:val="0"/>
          <w:szCs w:val="32"/>
          <w:highlight w:val="none"/>
          <w:lang w:eastAsia="zh-CN"/>
        </w:rPr>
        <w:t>三</w:t>
      </w:r>
      <w:r>
        <w:rPr>
          <w:rFonts w:hint="eastAsia" w:ascii="仿宋_GB2312" w:hAnsi="仿宋_GB2312" w:eastAsia="仿宋_GB2312" w:cs="仿宋_GB2312"/>
          <w:bCs w:val="0"/>
          <w:szCs w:val="32"/>
          <w:highlight w:val="none"/>
        </w:rPr>
        <w:t>）</w:t>
      </w:r>
      <w:r>
        <w:rPr>
          <w:rFonts w:hint="eastAsia" w:ascii="仿宋_GB2312" w:hAnsi="仿宋_GB2312" w:eastAsia="仿宋_GB2312" w:cs="仿宋_GB2312"/>
        </w:rPr>
        <w:t>财务管理规范性不足</w:t>
      </w:r>
      <w:r>
        <w:rPr>
          <w:rFonts w:hint="eastAsia" w:ascii="仿宋_GB2312" w:hAnsi="仿宋_GB2312" w:eastAsia="仿宋_GB2312" w:cs="仿宋_GB2312"/>
        </w:rPr>
        <w:tab/>
      </w:r>
      <w:r>
        <w:rPr>
          <w:rFonts w:hint="eastAsia" w:ascii="仿宋_GB2312" w:hAnsi="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cs="仿宋_GB2312"/>
          <w:lang w:val="en-US" w:eastAsia="zh-CN"/>
        </w:rPr>
        <w:t>2</w:t>
      </w:r>
    </w:p>
    <w:p w14:paraId="34490D85">
      <w:pPr>
        <w:pStyle w:val="11"/>
        <w:tabs>
          <w:tab w:val="right" w:leader="dot" w:pos="8306"/>
        </w:tabs>
        <w:ind w:left="0" w:leftChars="0" w:firstLine="0" w:firstLineChars="0"/>
        <w:jc w:val="left"/>
        <w:rPr>
          <w:rFonts w:hint="eastAsia" w:ascii="仿宋_GB2312" w:hAnsi="仿宋_GB2312" w:eastAsia="仿宋_GB2312" w:cs="仿宋_GB2312"/>
          <w:b/>
          <w:bCs/>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HYPERLINK \l _Toc3532 </w:instrText>
      </w:r>
      <w:r>
        <w:rPr>
          <w:rFonts w:hint="eastAsia" w:ascii="仿宋_GB2312" w:hAnsi="仿宋_GB2312" w:eastAsia="仿宋_GB2312" w:cs="仿宋_GB2312"/>
          <w:b/>
          <w:bCs/>
        </w:rPr>
        <w:fldChar w:fldCharType="separate"/>
      </w:r>
      <w:r>
        <w:rPr>
          <w:rFonts w:hint="eastAsia" w:ascii="仿宋_GB2312" w:hAnsi="仿宋_GB2312" w:cs="仿宋_GB2312"/>
          <w:b/>
          <w:bCs/>
          <w:lang w:val="en-US" w:eastAsia="zh-CN"/>
        </w:rPr>
        <w:t>六</w:t>
      </w:r>
      <w:r>
        <w:rPr>
          <w:rFonts w:hint="eastAsia" w:ascii="仿宋_GB2312" w:hAnsi="仿宋_GB2312" w:eastAsia="仿宋_GB2312" w:cs="仿宋_GB2312"/>
          <w:b/>
          <w:bCs/>
        </w:rPr>
        <w:t>、有关建议</w:t>
      </w:r>
      <w:r>
        <w:rPr>
          <w:rFonts w:hint="eastAsia" w:ascii="仿宋_GB2312" w:hAnsi="仿宋_GB2312" w:eastAsia="仿宋_GB2312" w:cs="仿宋_GB2312"/>
          <w:b/>
          <w:bCs/>
        </w:rPr>
        <w:tab/>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PAGEREF _Toc3532 \h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12</w:t>
      </w:r>
      <w:r>
        <w:rPr>
          <w:rFonts w:hint="eastAsia" w:ascii="仿宋_GB2312" w:hAnsi="仿宋_GB2312" w:eastAsia="仿宋_GB2312" w:cs="仿宋_GB2312"/>
          <w:b/>
          <w:bCs/>
        </w:rPr>
        <w:fldChar w:fldCharType="end"/>
      </w:r>
      <w:r>
        <w:rPr>
          <w:rFonts w:hint="eastAsia" w:ascii="仿宋_GB2312" w:hAnsi="仿宋_GB2312" w:eastAsia="仿宋_GB2312" w:cs="仿宋_GB2312"/>
          <w:b/>
          <w:bCs/>
        </w:rPr>
        <w:fldChar w:fldCharType="end"/>
      </w:r>
    </w:p>
    <w:p w14:paraId="160A7433">
      <w:pPr>
        <w:pStyle w:val="12"/>
        <w:tabs>
          <w:tab w:val="right" w:leader="dot" w:pos="8306"/>
        </w:tabs>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_Toc23784 </w:instrText>
      </w:r>
      <w:r>
        <w:rPr>
          <w:rFonts w:hint="eastAsia" w:ascii="仿宋_GB2312" w:hAnsi="仿宋_GB2312" w:eastAsia="仿宋_GB2312" w:cs="仿宋_GB2312"/>
        </w:rPr>
        <w:fldChar w:fldCharType="separate"/>
      </w:r>
      <w:r>
        <w:rPr>
          <w:rFonts w:hint="eastAsia" w:ascii="仿宋_GB2312" w:hAnsi="仿宋_GB2312" w:eastAsia="仿宋_GB2312" w:cs="仿宋_GB2312"/>
          <w:lang w:val="en-US" w:eastAsia="zh-CN"/>
        </w:rPr>
        <w:t>（一）</w:t>
      </w:r>
      <w:r>
        <w:rPr>
          <w:rFonts w:hint="eastAsia" w:ascii="仿宋_GB2312" w:hAnsi="仿宋_GB2312" w:eastAsia="仿宋_GB2312" w:cs="仿宋_GB2312"/>
        </w:rPr>
        <w:t>加强</w:t>
      </w:r>
      <w:r>
        <w:rPr>
          <w:rFonts w:hint="eastAsia" w:ascii="仿宋_GB2312" w:hAnsi="仿宋_GB2312" w:eastAsia="仿宋_GB2312" w:cs="仿宋_GB2312"/>
          <w:lang w:eastAsia="zh-CN"/>
        </w:rPr>
        <w:t>业务学习，提高绩效管理水平</w:t>
      </w:r>
      <w:r>
        <w:rPr>
          <w:rFonts w:hint="eastAsia" w:ascii="仿宋_GB2312" w:hAnsi="仿宋_GB2312" w:eastAsia="仿宋_GB2312" w:cs="仿宋_GB2312"/>
        </w:rPr>
        <w:tab/>
      </w:r>
      <w:r>
        <w:rPr>
          <w:rFonts w:hint="eastAsia" w:ascii="仿宋_GB2312" w:hAnsi="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cs="仿宋_GB2312"/>
          <w:lang w:val="en-US" w:eastAsia="zh-CN"/>
        </w:rPr>
        <w:t>2</w:t>
      </w:r>
    </w:p>
    <w:p w14:paraId="1E57FC8B">
      <w:pPr>
        <w:pStyle w:val="12"/>
        <w:tabs>
          <w:tab w:val="right" w:leader="dot" w:pos="8306"/>
        </w:tabs>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_Toc4149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val="0"/>
          <w:szCs w:val="32"/>
          <w:highlight w:val="none"/>
        </w:rPr>
        <w:t>（</w:t>
      </w:r>
      <w:r>
        <w:rPr>
          <w:rFonts w:hint="eastAsia" w:ascii="仿宋_GB2312" w:hAnsi="仿宋_GB2312" w:cs="仿宋_GB2312"/>
          <w:bCs w:val="0"/>
          <w:szCs w:val="32"/>
          <w:highlight w:val="none"/>
          <w:lang w:eastAsia="zh-CN"/>
        </w:rPr>
        <w:t>二</w:t>
      </w:r>
      <w:r>
        <w:rPr>
          <w:rFonts w:hint="eastAsia" w:ascii="仿宋_GB2312" w:hAnsi="仿宋_GB2312" w:eastAsia="仿宋_GB2312" w:cs="仿宋_GB2312"/>
          <w:bCs w:val="0"/>
          <w:szCs w:val="32"/>
          <w:highlight w:val="none"/>
        </w:rPr>
        <w:t>）</w:t>
      </w:r>
      <w:r>
        <w:rPr>
          <w:rFonts w:hint="eastAsia" w:ascii="仿宋_GB2312" w:hAnsi="仿宋_GB2312" w:eastAsia="仿宋_GB2312" w:cs="仿宋_GB2312"/>
          <w:bCs w:val="0"/>
          <w:szCs w:val="32"/>
          <w:highlight w:val="none"/>
          <w:lang w:val="en-US" w:eastAsia="zh-CN"/>
        </w:rPr>
        <w:t>结合工作实际，科学设置绩效目标</w:t>
      </w:r>
      <w:r>
        <w:rPr>
          <w:rFonts w:hint="eastAsia" w:ascii="仿宋_GB2312" w:hAnsi="仿宋_GB2312" w:eastAsia="仿宋_GB2312" w:cs="仿宋_GB2312"/>
        </w:rPr>
        <w:tab/>
      </w:r>
      <w:r>
        <w:rPr>
          <w:rFonts w:hint="eastAsia" w:ascii="仿宋_GB2312" w:hAnsi="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cs="仿宋_GB2312"/>
          <w:lang w:val="en-US" w:eastAsia="zh-CN"/>
        </w:rPr>
        <w:t>3</w:t>
      </w:r>
    </w:p>
    <w:p w14:paraId="1C3177F7">
      <w:pPr>
        <w:pStyle w:val="12"/>
        <w:tabs>
          <w:tab w:val="right" w:leader="dot" w:pos="8306"/>
        </w:tabs>
        <w:ind w:left="0" w:leftChars="0" w:firstLine="0" w:firstLineChars="0"/>
        <w:jc w:val="left"/>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_Toc4149 </w:instrText>
      </w:r>
      <w:r>
        <w:rPr>
          <w:rFonts w:hint="eastAsia" w:ascii="仿宋_GB2312" w:hAnsi="仿宋_GB2312" w:eastAsia="仿宋_GB2312" w:cs="仿宋_GB2312"/>
        </w:rPr>
        <w:fldChar w:fldCharType="separate"/>
      </w:r>
      <w:r>
        <w:rPr>
          <w:rFonts w:hint="eastAsia" w:ascii="仿宋_GB2312" w:hAnsi="仿宋_GB2312" w:eastAsia="仿宋_GB2312" w:cs="仿宋_GB2312"/>
          <w:bCs w:val="0"/>
          <w:szCs w:val="32"/>
          <w:highlight w:val="none"/>
        </w:rPr>
        <w:t>（</w:t>
      </w:r>
      <w:r>
        <w:rPr>
          <w:rFonts w:hint="eastAsia" w:ascii="仿宋_GB2312" w:hAnsi="仿宋_GB2312" w:cs="仿宋_GB2312"/>
          <w:bCs w:val="0"/>
          <w:szCs w:val="32"/>
          <w:highlight w:val="none"/>
          <w:lang w:eastAsia="zh-CN"/>
        </w:rPr>
        <w:t>三</w:t>
      </w:r>
      <w:r>
        <w:rPr>
          <w:rFonts w:hint="eastAsia" w:ascii="仿宋_GB2312" w:hAnsi="仿宋_GB2312" w:eastAsia="仿宋_GB2312" w:cs="仿宋_GB2312"/>
          <w:bCs w:val="0"/>
          <w:szCs w:val="32"/>
          <w:highlight w:val="none"/>
        </w:rPr>
        <w:t>）</w:t>
      </w:r>
      <w:r>
        <w:rPr>
          <w:rFonts w:hint="eastAsia" w:ascii="仿宋_GB2312" w:hAnsi="仿宋_GB2312" w:eastAsia="仿宋_GB2312" w:cs="仿宋_GB2312"/>
          <w:bCs w:val="0"/>
          <w:szCs w:val="32"/>
          <w:highlight w:val="none"/>
          <w:lang w:eastAsia="zh-CN"/>
        </w:rPr>
        <w:t>规范财务管理</w:t>
      </w:r>
      <w:r>
        <w:rPr>
          <w:rFonts w:hint="eastAsia" w:ascii="仿宋_GB2312" w:hAnsi="仿宋_GB2312" w:eastAsia="仿宋_GB2312" w:cs="仿宋_GB2312"/>
          <w:bCs w:val="0"/>
          <w:szCs w:val="32"/>
          <w:highlight w:val="none"/>
        </w:rPr>
        <w:t>，</w:t>
      </w:r>
      <w:r>
        <w:rPr>
          <w:rFonts w:hint="eastAsia" w:ascii="仿宋_GB2312" w:hAnsi="仿宋_GB2312" w:eastAsia="仿宋_GB2312" w:cs="仿宋_GB2312"/>
          <w:bCs w:val="0"/>
          <w:szCs w:val="32"/>
          <w:highlight w:val="none"/>
          <w:lang w:eastAsia="zh-CN"/>
        </w:rPr>
        <w:t>充分发挥资金效益</w:t>
      </w:r>
      <w:r>
        <w:rPr>
          <w:rFonts w:hint="eastAsia" w:ascii="仿宋_GB2312" w:hAnsi="仿宋_GB2312" w:eastAsia="仿宋_GB2312" w:cs="仿宋_GB2312"/>
        </w:rPr>
        <w:tab/>
      </w:r>
      <w:r>
        <w:rPr>
          <w:rFonts w:hint="eastAsia" w:ascii="仿宋_GB2312" w:hAnsi="仿宋_GB2312" w:cs="仿宋_GB2312"/>
          <w:lang w:val="en-US" w:eastAsia="zh-CN"/>
        </w:rPr>
        <w:t>1</w:t>
      </w:r>
      <w:r>
        <w:rPr>
          <w:rFonts w:hint="eastAsia" w:ascii="仿宋_GB2312" w:hAnsi="仿宋_GB2312" w:eastAsia="仿宋_GB2312" w:cs="仿宋_GB2312"/>
        </w:rPr>
        <w:fldChar w:fldCharType="end"/>
      </w:r>
      <w:r>
        <w:rPr>
          <w:rFonts w:hint="eastAsia" w:ascii="仿宋_GB2312" w:hAnsi="仿宋_GB2312" w:cs="仿宋_GB2312"/>
          <w:lang w:val="en-US" w:eastAsia="zh-CN"/>
        </w:rPr>
        <w:t>3</w:t>
      </w:r>
    </w:p>
    <w:p w14:paraId="53206F32">
      <w:pPr>
        <w:pStyle w:val="11"/>
        <w:tabs>
          <w:tab w:val="right" w:leader="dot" w:pos="8306"/>
        </w:tabs>
        <w:ind w:left="0" w:leftChars="0" w:firstLine="0" w:firstLineChars="0"/>
        <w:jc w:val="left"/>
        <w:rPr>
          <w:rFonts w:hint="eastAsia" w:eastAsia="仿宋_GB2312"/>
          <w:lang w:val="en-US" w:eastAsia="zh-CN"/>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HYPERLINK \l _Toc30231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lang w:val="en-US" w:eastAsia="zh-CN"/>
        </w:rPr>
        <w:t>附件</w:t>
      </w:r>
      <w:r>
        <w:rPr>
          <w:rFonts w:hint="eastAsia" w:ascii="仿宋_GB2312" w:hAnsi="仿宋_GB2312" w:cs="仿宋_GB2312"/>
          <w:b/>
          <w:bCs/>
          <w:lang w:val="en-US" w:eastAsia="zh-CN"/>
        </w:rPr>
        <w:t>：</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rPr>
        <w:fldChar w:fldCharType="end"/>
      </w: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HYPERLINK \l _Toc15986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szCs w:val="44"/>
          <w:lang w:eastAsia="zh-CN"/>
        </w:rPr>
        <w:t>安康市</w:t>
      </w:r>
      <w:r>
        <w:rPr>
          <w:rFonts w:hint="eastAsia" w:ascii="仿宋_GB2312" w:hAnsi="仿宋_GB2312" w:eastAsia="仿宋_GB2312" w:cs="仿宋_GB2312"/>
          <w:b/>
          <w:bCs/>
          <w:szCs w:val="44"/>
          <w:lang w:val="en-US" w:eastAsia="zh-CN"/>
        </w:rPr>
        <w:t>统计</w:t>
      </w:r>
      <w:r>
        <w:rPr>
          <w:rFonts w:hint="eastAsia" w:ascii="仿宋_GB2312" w:hAnsi="仿宋_GB2312" w:eastAsia="仿宋_GB2312" w:cs="仿宋_GB2312"/>
          <w:b/>
          <w:bCs/>
          <w:szCs w:val="44"/>
          <w:lang w:eastAsia="zh-CN"/>
        </w:rPr>
        <w:t>局</w:t>
      </w:r>
      <w:r>
        <w:rPr>
          <w:rFonts w:hint="eastAsia" w:ascii="仿宋_GB2312" w:hAnsi="仿宋_GB2312" w:eastAsia="仿宋_GB2312" w:cs="仿宋_GB2312"/>
          <w:b/>
          <w:bCs/>
          <w:szCs w:val="44"/>
          <w:lang w:val="en-US" w:eastAsia="zh-CN"/>
        </w:rPr>
        <w:t>2023年度统计业务工作经费绩效评价指标打分表</w:t>
      </w:r>
      <w:r>
        <w:rPr>
          <w:rFonts w:hint="eastAsia" w:ascii="仿宋_GB2312" w:hAnsi="仿宋_GB2312" w:eastAsia="仿宋_GB2312" w:cs="仿宋_GB2312"/>
          <w:b/>
          <w:bCs/>
        </w:rPr>
        <w:tab/>
      </w:r>
      <w:r>
        <w:rPr>
          <w:rFonts w:hint="eastAsia" w:ascii="仿宋_GB2312" w:hAnsi="仿宋_GB2312" w:cs="仿宋_GB2312"/>
          <w:b/>
          <w:bCs/>
          <w:lang w:val="en-US" w:eastAsia="zh-CN"/>
        </w:rPr>
        <w:t>1</w:t>
      </w:r>
      <w:r>
        <w:rPr>
          <w:rFonts w:hint="eastAsia" w:ascii="仿宋_GB2312" w:hAnsi="仿宋_GB2312" w:eastAsia="仿宋_GB2312" w:cs="仿宋_GB2312"/>
          <w:b/>
          <w:bCs/>
        </w:rPr>
        <w:fldChar w:fldCharType="end"/>
      </w:r>
      <w:r>
        <w:rPr>
          <w:rFonts w:hint="eastAsia" w:ascii="仿宋_GB2312" w:hAnsi="仿宋_GB2312" w:cs="仿宋_GB2312"/>
          <w:b/>
          <w:bCs/>
          <w:lang w:val="en-US" w:eastAsia="zh-CN"/>
        </w:rPr>
        <w:t>3</w:t>
      </w:r>
    </w:p>
    <w:p w14:paraId="7D3BE648">
      <w:pPr>
        <w:ind w:left="0" w:leftChars="0" w:firstLine="0" w:firstLineChars="0"/>
        <w:rPr>
          <w:rFonts w:hint="eastAsia" w:eastAsia="仿宋_GB2312"/>
          <w:b/>
          <w:lang w:eastAsia="zh-CN"/>
        </w:rPr>
        <w:sectPr>
          <w:footerReference r:id="rId5" w:type="default"/>
          <w:pgSz w:w="11906" w:h="16838"/>
          <w:pgMar w:top="1440" w:right="1800" w:bottom="1440" w:left="1800" w:header="851" w:footer="992" w:gutter="0"/>
          <w:cols w:space="425" w:num="1"/>
          <w:docGrid w:type="lines" w:linePitch="312" w:charSpace="0"/>
        </w:sectPr>
      </w:pPr>
      <w:r>
        <w:fldChar w:fldCharType="end"/>
      </w:r>
    </w:p>
    <w:p w14:paraId="42412462">
      <w:pPr>
        <w:rPr>
          <w:b/>
        </w:rPr>
      </w:pPr>
    </w:p>
    <w:p w14:paraId="1AA9949E">
      <w:pPr>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安康市统计局2023年度统计业务工作经费绩效评价报告</w:t>
      </w:r>
    </w:p>
    <w:p w14:paraId="29C9D44A">
      <w:pPr>
        <w:pStyle w:val="8"/>
        <w:jc w:val="both"/>
        <w:rPr>
          <w:rFonts w:hint="eastAsia" w:ascii="方正大标宋_GBK" w:hAnsi="方正大标宋_GBK" w:eastAsia="方正大标宋_GBK" w:cs="方正大标宋_GBK"/>
          <w:sz w:val="44"/>
          <w:szCs w:val="44"/>
          <w:lang w:val="en-US" w:eastAsia="zh-CN"/>
        </w:rPr>
      </w:pPr>
    </w:p>
    <w:p w14:paraId="465854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u w:val="none"/>
        </w:rPr>
      </w:pPr>
      <w:bookmarkStart w:id="0" w:name="_Toc192460820"/>
      <w:bookmarkStart w:id="1" w:name="_Toc3825"/>
      <w:r>
        <w:rPr>
          <w:rFonts w:hint="default" w:ascii="Times New Roman" w:hAnsi="Times New Roman" w:eastAsia="黑体" w:cs="Times New Roman"/>
          <w:sz w:val="32"/>
          <w:szCs w:val="32"/>
          <w:highlight w:val="none"/>
          <w:u w:val="none"/>
        </w:rPr>
        <w:t>一、基本情况</w:t>
      </w:r>
      <w:bookmarkEnd w:id="0"/>
      <w:bookmarkEnd w:id="1"/>
    </w:p>
    <w:p w14:paraId="05816E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eastAsia="楷体" w:cs="Times New Roman"/>
          <w:b/>
          <w:bCs/>
          <w:sz w:val="32"/>
          <w:szCs w:val="32"/>
          <w:highlight w:val="none"/>
          <w:u w:val="none"/>
          <w:lang w:eastAsia="zh-CN"/>
        </w:rPr>
      </w:pPr>
      <w:bookmarkStart w:id="2" w:name="_Toc9814"/>
      <w:bookmarkStart w:id="3" w:name="_Toc578629358"/>
      <w:r>
        <w:rPr>
          <w:rFonts w:hint="default" w:eastAsia="楷体" w:cs="Times New Roman"/>
          <w:b/>
          <w:bCs/>
          <w:sz w:val="32"/>
          <w:szCs w:val="32"/>
          <w:highlight w:val="none"/>
          <w:u w:val="none"/>
          <w:lang w:eastAsia="zh-CN"/>
        </w:rPr>
        <w:t>（一）项目概况</w:t>
      </w:r>
      <w:bookmarkEnd w:id="2"/>
      <w:bookmarkEnd w:id="3"/>
    </w:p>
    <w:p w14:paraId="41AFFE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u w:val="none"/>
          <w:lang w:eastAsia="zh-CN"/>
        </w:rPr>
      </w:pPr>
      <w:r>
        <w:rPr>
          <w:rFonts w:hint="eastAsia" w:ascii="仿宋_GB2312" w:hAnsi="仿宋_GB2312" w:eastAsia="仿宋_GB2312" w:cs="仿宋_GB2312"/>
          <w:b/>
          <w:bCs/>
          <w:sz w:val="32"/>
          <w:szCs w:val="32"/>
          <w:highlight w:val="none"/>
          <w:u w:val="none"/>
        </w:rPr>
        <w:t>1.项目背景</w:t>
      </w:r>
    </w:p>
    <w:p w14:paraId="376C2ABC">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bCs w:val="0"/>
          <w:color w:val="000000"/>
          <w:kern w:val="2"/>
          <w:sz w:val="32"/>
          <w:szCs w:val="32"/>
          <w:lang w:val="en-US" w:eastAsia="zh-CN" w:bidi="ar-SA"/>
        </w:rPr>
      </w:pPr>
      <w:r>
        <w:rPr>
          <w:rFonts w:hint="eastAsia" w:ascii="仿宋_GB2312" w:hAnsi="仿宋_GB2312" w:eastAsia="仿宋_GB2312" w:cs="仿宋_GB2312"/>
          <w:bCs w:val="0"/>
          <w:color w:val="000000"/>
          <w:kern w:val="2"/>
          <w:sz w:val="32"/>
          <w:szCs w:val="32"/>
          <w:lang w:val="en-US" w:eastAsia="zh-CN" w:bidi="ar-SA"/>
        </w:rPr>
        <w:t>按照省统计局要求开展</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2023</w:t>
      </w:r>
      <w:r>
        <w:rPr>
          <w:rFonts w:hint="eastAsia" w:ascii="仿宋_GB2312" w:hAnsi="仿宋_GB2312" w:eastAsia="仿宋_GB2312" w:cs="仿宋_GB2312"/>
          <w:bCs w:val="0"/>
          <w:color w:val="000000"/>
          <w:kern w:val="2"/>
          <w:sz w:val="32"/>
          <w:szCs w:val="32"/>
          <w:lang w:val="en-US" w:eastAsia="zh-CN" w:bidi="ar-SA"/>
        </w:rPr>
        <w:t>年度各项统计专项调查工作，对经济和社会发展情况进行统计调查，搜集、整理并提供统计基础资料，对国民经济社会发展情况进行统计分析、统计预测和统计监督，准确把握安康市经济社会发展的重点任务和预期目标，围绕推动经济高质量发展、建立现代化经济体系的新要求，收集、整理和提供有关调查统计数据，对全市统计数据质量进行检查、评估和数据的公布。</w:t>
      </w:r>
    </w:p>
    <w:p w14:paraId="0C612C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w:t>
      </w:r>
      <w:r>
        <w:rPr>
          <w:rFonts w:hint="default" w:ascii="仿宋_GB2312" w:hAnsi="仿宋_GB2312" w:eastAsia="仿宋_GB2312" w:cs="仿宋_GB2312"/>
          <w:b/>
          <w:bCs/>
          <w:sz w:val="32"/>
          <w:szCs w:val="32"/>
          <w:highlight w:val="none"/>
          <w:u w:val="none"/>
        </w:rPr>
        <w:t>资金投入和使用情况</w:t>
      </w:r>
    </w:p>
    <w:p w14:paraId="186167FB">
      <w:pPr>
        <w:bidi w:val="0"/>
        <w:rPr>
          <w:rFonts w:hint="eastAsia" w:ascii="仿宋_GB2312" w:hAnsi="仿宋_GB2312" w:eastAsia="仿宋_GB2312" w:cs="仿宋_GB2312"/>
          <w:highlight w:val="none"/>
          <w:lang w:val="en-US" w:eastAsia="zh-CN"/>
        </w:rPr>
      </w:pPr>
      <w:bookmarkStart w:id="4" w:name="_Toc1217666290"/>
      <w:r>
        <w:rPr>
          <w:rFonts w:hint="eastAsia" w:ascii="仿宋_GB2312" w:hAnsi="仿宋_GB2312" w:eastAsia="仿宋_GB2312" w:cs="仿宋_GB2312"/>
          <w:highlight w:val="none"/>
          <w:lang w:val="en-US" w:eastAsia="zh-CN"/>
        </w:rPr>
        <w:t>2023年度“统计业务工作经费”安排预算1600000.00元，截至2023年12月31日，实际支付资金</w:t>
      </w:r>
      <w:bookmarkStart w:id="5" w:name="OLE_LINK1"/>
      <w:r>
        <w:rPr>
          <w:rFonts w:hint="eastAsia" w:ascii="仿宋_GB2312" w:hAnsi="仿宋_GB2312" w:eastAsia="仿宋_GB2312" w:cs="仿宋_GB2312"/>
          <w:highlight w:val="none"/>
          <w:lang w:val="en-US" w:eastAsia="zh-CN"/>
        </w:rPr>
        <w:t>922111.64</w:t>
      </w:r>
      <w:bookmarkEnd w:id="5"/>
      <w:r>
        <w:rPr>
          <w:rFonts w:hint="eastAsia" w:ascii="仿宋_GB2312" w:hAnsi="仿宋_GB2312" w:eastAsia="仿宋_GB2312" w:cs="仿宋_GB2312"/>
          <w:highlight w:val="none"/>
          <w:lang w:val="en-US" w:eastAsia="zh-CN"/>
        </w:rPr>
        <w:t>元。</w:t>
      </w:r>
    </w:p>
    <w:p w14:paraId="48A879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 w:cs="Times New Roman"/>
          <w:b/>
          <w:bCs/>
          <w:sz w:val="32"/>
          <w:szCs w:val="32"/>
          <w:highlight w:val="none"/>
          <w:u w:val="none"/>
        </w:rPr>
      </w:pPr>
      <w:bookmarkStart w:id="6" w:name="_Toc27053"/>
      <w:r>
        <w:rPr>
          <w:rFonts w:hint="default" w:eastAsia="楷体" w:cs="Times New Roman"/>
          <w:b/>
          <w:bCs/>
          <w:sz w:val="32"/>
          <w:szCs w:val="32"/>
          <w:highlight w:val="none"/>
          <w:u w:val="none"/>
          <w:lang w:eastAsia="zh-CN"/>
        </w:rPr>
        <w:t>（二）项目绩效目标</w:t>
      </w:r>
      <w:bookmarkEnd w:id="4"/>
      <w:bookmarkEnd w:id="6"/>
    </w:p>
    <w:p w14:paraId="04F1AA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yellow"/>
          <w:u w:val="none"/>
        </w:rPr>
      </w:pPr>
      <w:r>
        <w:rPr>
          <w:rFonts w:hint="eastAsia" w:ascii="仿宋_GB2312" w:hAnsi="仿宋_GB2312" w:eastAsia="仿宋_GB2312" w:cs="仿宋_GB2312"/>
          <w:b/>
          <w:bCs/>
          <w:sz w:val="32"/>
          <w:szCs w:val="32"/>
          <w:highlight w:val="none"/>
          <w:u w:val="none"/>
        </w:rPr>
        <w:t>1.项目实施主要内容</w:t>
      </w:r>
    </w:p>
    <w:p w14:paraId="7D5417DC">
      <w:pPr>
        <w:bidi w:val="0"/>
        <w:rPr>
          <w:rFonts w:hint="eastAsia"/>
          <w:lang w:val="en-US" w:eastAsia="zh-CN"/>
        </w:rPr>
      </w:pPr>
      <w:r>
        <w:rPr>
          <w:rFonts w:hint="eastAsia"/>
          <w:lang w:val="en-US" w:eastAsia="zh-CN"/>
        </w:rPr>
        <w:t>统计业务工作主要为：组织开展工业、能源、投资、贸易、服务业、人口就业、社会科技和文化、农业农村等领域常规统计调查，做好各项重大专项调查和社情民意调查；加强统计预警监测分析，撰写统计分析报告，组织实施好县（市、区）季度生产总值统一核算工作；抓好“五上”企业申报纳统；加快推进统计重点领域改革，做好“一套表”网络运行维护保障工作。</w:t>
      </w:r>
    </w:p>
    <w:p w14:paraId="122244B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b/>
          <w:bCs/>
          <w:sz w:val="32"/>
          <w:szCs w:val="32"/>
          <w:highlight w:val="none"/>
          <w:u w:val="none"/>
          <w:lang w:val="en-US" w:eastAsia="zh-CN"/>
        </w:rPr>
        <w:t>2</w:t>
      </w:r>
      <w:r>
        <w:rPr>
          <w:rFonts w:hint="eastAsia" w:ascii="仿宋_GB2312" w:hAnsi="仿宋_GB2312" w:eastAsia="仿宋_GB2312" w:cs="仿宋_GB2312"/>
          <w:b/>
          <w:bCs/>
          <w:sz w:val="32"/>
          <w:szCs w:val="32"/>
          <w:highlight w:val="none"/>
          <w:u w:val="none"/>
        </w:rPr>
        <w:t>.项目总体目标</w:t>
      </w:r>
    </w:p>
    <w:p w14:paraId="4415B8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持续</w:t>
      </w:r>
      <w:r>
        <w:rPr>
          <w:rFonts w:hint="default"/>
          <w:lang w:val="en-US" w:eastAsia="zh-CN"/>
        </w:rPr>
        <w:t>组织开展工业、能源、投资、贸易、服务业、人口就业、社会科技和文化、农业农村等领域常规统计调查，做好各项重大专项调查和社情民意调查</w:t>
      </w:r>
      <w:r>
        <w:rPr>
          <w:rFonts w:hint="eastAsia"/>
          <w:lang w:val="en-US" w:eastAsia="zh-CN"/>
        </w:rPr>
        <w:t>；</w:t>
      </w:r>
      <w:r>
        <w:rPr>
          <w:rFonts w:hint="default"/>
          <w:lang w:val="en-US" w:eastAsia="zh-CN"/>
        </w:rPr>
        <w:t>加强统计预警监测分析，撰写统计分析报告</w:t>
      </w:r>
      <w:r>
        <w:rPr>
          <w:rFonts w:hint="eastAsia"/>
          <w:lang w:val="en-US" w:eastAsia="zh-CN"/>
        </w:rPr>
        <w:t>，“</w:t>
      </w:r>
      <w:r>
        <w:rPr>
          <w:rFonts w:hint="default"/>
          <w:lang w:val="en-US" w:eastAsia="zh-CN"/>
        </w:rPr>
        <w:t>组织实施好县</w:t>
      </w:r>
      <w:r>
        <w:rPr>
          <w:rFonts w:hint="eastAsia"/>
          <w:lang w:val="en-US" w:eastAsia="zh-CN"/>
        </w:rPr>
        <w:t>（</w:t>
      </w:r>
      <w:r>
        <w:rPr>
          <w:rFonts w:hint="default"/>
          <w:lang w:val="en-US" w:eastAsia="zh-CN"/>
        </w:rPr>
        <w:t>市、区</w:t>
      </w:r>
      <w:r>
        <w:rPr>
          <w:rFonts w:hint="eastAsia"/>
          <w:lang w:val="en-US" w:eastAsia="zh-CN"/>
        </w:rPr>
        <w:t>）</w:t>
      </w:r>
      <w:r>
        <w:rPr>
          <w:rFonts w:hint="default"/>
          <w:lang w:val="en-US" w:eastAsia="zh-CN"/>
        </w:rPr>
        <w:t>季度生产总值统一核算工作</w:t>
      </w:r>
      <w:r>
        <w:rPr>
          <w:rFonts w:hint="eastAsia"/>
          <w:lang w:val="en-US" w:eastAsia="zh-CN"/>
        </w:rPr>
        <w:t>；</w:t>
      </w:r>
      <w:r>
        <w:rPr>
          <w:rFonts w:hint="default"/>
          <w:lang w:val="en-US" w:eastAsia="zh-CN"/>
        </w:rPr>
        <w:t>抓好</w:t>
      </w:r>
      <w:r>
        <w:rPr>
          <w:rFonts w:hint="eastAsia"/>
          <w:lang w:val="en-US" w:eastAsia="zh-CN"/>
        </w:rPr>
        <w:t>“</w:t>
      </w:r>
      <w:r>
        <w:rPr>
          <w:rFonts w:hint="default"/>
          <w:lang w:val="en-US" w:eastAsia="zh-CN"/>
        </w:rPr>
        <w:t>五上</w:t>
      </w:r>
      <w:r>
        <w:rPr>
          <w:rFonts w:hint="eastAsia"/>
          <w:lang w:val="en-US" w:eastAsia="zh-CN"/>
        </w:rPr>
        <w:t>”</w:t>
      </w:r>
      <w:r>
        <w:rPr>
          <w:rFonts w:hint="default"/>
          <w:lang w:val="en-US" w:eastAsia="zh-CN"/>
        </w:rPr>
        <w:t>企业申报纳统</w:t>
      </w:r>
      <w:r>
        <w:rPr>
          <w:rFonts w:hint="eastAsia"/>
          <w:lang w:val="en-US" w:eastAsia="zh-CN"/>
        </w:rPr>
        <w:t>；</w:t>
      </w:r>
      <w:r>
        <w:rPr>
          <w:rFonts w:hint="default"/>
          <w:lang w:val="en-US" w:eastAsia="zh-CN"/>
        </w:rPr>
        <w:t>加快推进统计重点领域改革，做好</w:t>
      </w:r>
      <w:r>
        <w:rPr>
          <w:rFonts w:hint="eastAsia"/>
          <w:lang w:val="en-US" w:eastAsia="zh-CN"/>
        </w:rPr>
        <w:t>“</w:t>
      </w:r>
      <w:r>
        <w:rPr>
          <w:rFonts w:hint="default"/>
          <w:lang w:val="en-US" w:eastAsia="zh-CN"/>
        </w:rPr>
        <w:t>一套表</w:t>
      </w:r>
      <w:r>
        <w:rPr>
          <w:rFonts w:hint="eastAsia"/>
          <w:lang w:val="en-US" w:eastAsia="zh-CN"/>
        </w:rPr>
        <w:t>”</w:t>
      </w:r>
      <w:r>
        <w:rPr>
          <w:rFonts w:hint="default"/>
          <w:lang w:val="en-US" w:eastAsia="zh-CN"/>
        </w:rPr>
        <w:t>网络运行维护保障工作。</w:t>
      </w:r>
    </w:p>
    <w:p w14:paraId="0DA3A6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CN"/>
        </w:rPr>
        <w:t>年度</w:t>
      </w:r>
      <w:r>
        <w:rPr>
          <w:rFonts w:hint="eastAsia" w:ascii="仿宋_GB2312" w:hAnsi="仿宋_GB2312" w:eastAsia="仿宋_GB2312" w:cs="仿宋_GB2312"/>
          <w:b/>
          <w:bCs/>
          <w:color w:val="auto"/>
          <w:sz w:val="32"/>
          <w:szCs w:val="32"/>
          <w:highlight w:val="none"/>
          <w:u w:val="none"/>
        </w:rPr>
        <w:t>目标</w:t>
      </w:r>
    </w:p>
    <w:p w14:paraId="77A829FF">
      <w:pPr>
        <w:bidi w:val="0"/>
        <w:rPr>
          <w:rFonts w:hint="eastAsia" w:ascii="仿宋_GB2312" w:hAnsi="仿宋_GB2312" w:eastAsia="仿宋_GB2312" w:cs="仿宋_GB2312"/>
          <w:lang w:val="en-US" w:eastAsia="zh-CN"/>
        </w:rPr>
      </w:pPr>
      <w:r>
        <w:rPr>
          <w:rFonts w:hint="eastAsia" w:ascii="仿宋_GB2312" w:hAnsi="仿宋_GB2312" w:eastAsia="仿宋_GB2312" w:cs="仿宋_GB2312"/>
          <w:color w:val="auto"/>
          <w:highlight w:val="none"/>
          <w:lang w:val="en-US" w:eastAsia="zh-CN"/>
        </w:rPr>
        <w:t>按照省统计局要求开展2023年度各项统计专项调查工作，收集、整理和提供有关调查统计数据，对全市统计数据质量进行检查、评估和数据的公布。同时，按照市委、市政府工作要求，紧盯重点领域、重点行业、重点问题、关键环节，做到既出数据，也出思路、出措施，不断加大统计预警监测和分析研判力度，全力提升统计服务水平。切实当好领导决策的参谋助手，以优质的统计服务助力全市经济社会高质量发展。</w:t>
      </w:r>
    </w:p>
    <w:p w14:paraId="76DBB0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u w:val="none"/>
        </w:rPr>
      </w:pPr>
      <w:bookmarkStart w:id="7" w:name="_Toc1945663767"/>
      <w:bookmarkStart w:id="8" w:name="_Toc4289"/>
      <w:r>
        <w:rPr>
          <w:rFonts w:hint="default" w:ascii="Times New Roman" w:hAnsi="Times New Roman" w:eastAsia="黑体" w:cs="Times New Roman"/>
          <w:sz w:val="32"/>
          <w:szCs w:val="32"/>
          <w:highlight w:val="none"/>
          <w:u w:val="none"/>
        </w:rPr>
        <w:t>二、绩效评价工作开展情况</w:t>
      </w:r>
      <w:bookmarkEnd w:id="7"/>
      <w:bookmarkEnd w:id="8"/>
    </w:p>
    <w:p w14:paraId="52F2122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 w:cs="Times New Roman"/>
          <w:b w:val="0"/>
          <w:bCs w:val="0"/>
          <w:sz w:val="32"/>
          <w:szCs w:val="32"/>
          <w:highlight w:val="none"/>
          <w:u w:val="none"/>
        </w:rPr>
      </w:pPr>
      <w:bookmarkStart w:id="9" w:name="_Toc1037439100"/>
      <w:bookmarkStart w:id="10" w:name="_Toc24363"/>
      <w:r>
        <w:rPr>
          <w:rFonts w:hint="default" w:eastAsia="楷体" w:cs="Times New Roman"/>
          <w:b/>
          <w:bCs/>
          <w:sz w:val="32"/>
          <w:szCs w:val="32"/>
          <w:highlight w:val="none"/>
          <w:u w:val="none"/>
          <w:lang w:eastAsia="zh-CN"/>
        </w:rPr>
        <w:t>（一）绩效评价目的与重点</w:t>
      </w:r>
      <w:bookmarkEnd w:id="9"/>
      <w:bookmarkEnd w:id="10"/>
    </w:p>
    <w:p w14:paraId="2A1005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一方面评价统计业务经费相关政策的执行效率，执行质量和执行成果，主要评价“2023年度统计业务专项经费”的实施情况、监管情况及资金实际使用情况。</w:t>
      </w:r>
    </w:p>
    <w:p w14:paraId="4F8A15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另一方面评价“2023年度统计业务专项经费”的实施</w:t>
      </w:r>
      <w:r>
        <w:rPr>
          <w:rFonts w:hint="eastAsia" w:ascii="Times New Roman" w:hAnsi="Times New Roman" w:eastAsia="仿宋_GB2312" w:cs="Times New Roman"/>
          <w:sz w:val="32"/>
          <w:szCs w:val="32"/>
          <w:highlight w:val="none"/>
          <w:u w:val="none"/>
          <w:lang w:val="en-US" w:eastAsia="zh-CN"/>
        </w:rPr>
        <w:t>效益，主要涉及社会效益和可持续性影响。</w:t>
      </w:r>
    </w:p>
    <w:p w14:paraId="25564A0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通过执行程序和执行效益评价结果，可进一步探索</w:t>
      </w:r>
      <w:r>
        <w:rPr>
          <w:rFonts w:hint="eastAsia" w:ascii="Times New Roman" w:hAnsi="Times New Roman" w:cs="Times New Roman"/>
          <w:sz w:val="32"/>
          <w:szCs w:val="32"/>
          <w:highlight w:val="none"/>
          <w:u w:val="none"/>
          <w:lang w:val="en-US" w:eastAsia="zh-CN"/>
        </w:rPr>
        <w:t>统计业务专项经费</w:t>
      </w:r>
      <w:r>
        <w:rPr>
          <w:rFonts w:hint="eastAsia" w:ascii="Times New Roman" w:hAnsi="Times New Roman" w:eastAsia="仿宋_GB2312" w:cs="Times New Roman"/>
          <w:sz w:val="32"/>
          <w:szCs w:val="32"/>
          <w:highlight w:val="none"/>
          <w:u w:val="none"/>
          <w:lang w:val="en-US" w:eastAsia="zh-CN"/>
        </w:rPr>
        <w:t>实施的地域性和效益性，优化资源配置、提升专项经费保障服务质量，提高财政资金的使用效益。</w:t>
      </w:r>
    </w:p>
    <w:p w14:paraId="2878C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eastAsia="楷体" w:cs="Times New Roman"/>
          <w:b/>
          <w:bCs/>
          <w:sz w:val="32"/>
          <w:szCs w:val="32"/>
          <w:highlight w:val="none"/>
          <w:u w:val="none"/>
          <w:lang w:eastAsia="zh-CN"/>
        </w:rPr>
      </w:pPr>
      <w:bookmarkStart w:id="11" w:name="_Toc819223707"/>
      <w:bookmarkStart w:id="12" w:name="_Toc9262"/>
      <w:r>
        <w:rPr>
          <w:rFonts w:hint="default" w:eastAsia="楷体" w:cs="Times New Roman"/>
          <w:b/>
          <w:bCs/>
          <w:sz w:val="32"/>
          <w:szCs w:val="32"/>
          <w:highlight w:val="none"/>
          <w:u w:val="none"/>
          <w:lang w:eastAsia="zh-CN"/>
        </w:rPr>
        <w:t>（二）绩效评价指标与方法</w:t>
      </w:r>
      <w:bookmarkEnd w:id="11"/>
      <w:bookmarkEnd w:id="12"/>
    </w:p>
    <w:p w14:paraId="27F106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u w:val="none"/>
          <w:lang w:eastAsia="zh-CN"/>
        </w:rPr>
      </w:pPr>
      <w:r>
        <w:rPr>
          <w:rFonts w:hint="eastAsia" w:ascii="仿宋_GB2312" w:hAnsi="仿宋_GB2312" w:eastAsia="仿宋_GB2312" w:cs="仿宋_GB2312"/>
          <w:b/>
          <w:bCs/>
          <w:sz w:val="32"/>
          <w:szCs w:val="32"/>
          <w:highlight w:val="none"/>
          <w:u w:val="none"/>
          <w:lang w:val="en-US" w:eastAsia="zh-CN"/>
        </w:rPr>
        <w:t>1.</w:t>
      </w:r>
      <w:r>
        <w:rPr>
          <w:rFonts w:hint="eastAsia" w:ascii="仿宋_GB2312" w:hAnsi="仿宋_GB2312" w:eastAsia="仿宋_GB2312" w:cs="仿宋_GB2312"/>
          <w:b/>
          <w:bCs/>
          <w:sz w:val="32"/>
          <w:szCs w:val="32"/>
          <w:highlight w:val="none"/>
          <w:u w:val="none"/>
        </w:rPr>
        <w:t>绩效评价原则</w:t>
      </w:r>
    </w:p>
    <w:p w14:paraId="1B27B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仿宋_GB2312"/>
          <w:color w:val="auto"/>
          <w:kern w:val="0"/>
          <w:sz w:val="32"/>
          <w:highlight w:val="none"/>
          <w:lang w:val="en-US" w:eastAsia="zh-CN"/>
        </w:rPr>
      </w:pPr>
      <w:r>
        <w:rPr>
          <w:rFonts w:hint="eastAsia" w:ascii="Times New Roman" w:hAnsi="Times New Roman" w:cs="仿宋_GB2312"/>
          <w:color w:val="auto"/>
          <w:kern w:val="0"/>
          <w:sz w:val="32"/>
          <w:highlight w:val="none"/>
          <w:lang w:val="en-US" w:eastAsia="zh-CN"/>
        </w:rPr>
        <w:t>本次绩效评价的原则主要包括科学公正、统筹兼顾、激励约束和公开透明的原则，</w:t>
      </w:r>
      <w:r>
        <w:rPr>
          <w:rFonts w:hint="eastAsia" w:ascii="Times New Roman" w:hAnsi="Times New Roman"/>
          <w:b w:val="0"/>
          <w:bCs w:val="0"/>
          <w:color w:val="auto"/>
          <w:sz w:val="32"/>
          <w:highlight w:val="none"/>
        </w:rPr>
        <w:t>采用定量与定性分析相结合的科学分析方法，对</w:t>
      </w:r>
      <w:r>
        <w:rPr>
          <w:rFonts w:hint="eastAsia" w:ascii="Times New Roman" w:hAnsi="Times New Roman"/>
          <w:b w:val="0"/>
          <w:bCs w:val="0"/>
          <w:color w:val="auto"/>
          <w:sz w:val="32"/>
          <w:highlight w:val="none"/>
          <w:lang w:val="en-US" w:eastAsia="zh-CN"/>
        </w:rPr>
        <w:t>项目</w:t>
      </w:r>
      <w:r>
        <w:rPr>
          <w:rFonts w:hint="eastAsia" w:ascii="Times New Roman" w:hAnsi="Times New Roman"/>
          <w:b w:val="0"/>
          <w:bCs w:val="0"/>
          <w:color w:val="auto"/>
          <w:sz w:val="32"/>
          <w:highlight w:val="none"/>
        </w:rPr>
        <w:t>进行综合评价。</w:t>
      </w:r>
    </w:p>
    <w:p w14:paraId="4A61B6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2.评价指标体系</w:t>
      </w:r>
    </w:p>
    <w:p w14:paraId="1CE34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highlight w:val="none"/>
          <w:lang w:val="en-US" w:eastAsia="zh-CN"/>
        </w:rPr>
      </w:pPr>
      <w:r>
        <w:rPr>
          <w:rFonts w:hint="eastAsia" w:ascii="仿宋_GB2312" w:hAnsi="仿宋_GB2312" w:eastAsia="仿宋_GB2312" w:cs="仿宋_GB2312"/>
          <w:kern w:val="0"/>
          <w:sz w:val="32"/>
          <w:highlight w:val="none"/>
          <w:lang w:val="en-US" w:eastAsia="zh-CN"/>
        </w:rPr>
        <w:t>本次评价设置一级指标4个，二级指标8个，三级指标17个，四级指标18个。一级指标分别为决策、过程、产出、效益4个维度。</w:t>
      </w:r>
    </w:p>
    <w:p w14:paraId="3271BB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3.</w:t>
      </w:r>
      <w:r>
        <w:rPr>
          <w:rFonts w:hint="default" w:ascii="仿宋_GB2312" w:hAnsi="仿宋_GB2312" w:eastAsia="仿宋_GB2312" w:cs="仿宋_GB2312"/>
          <w:b/>
          <w:bCs/>
          <w:sz w:val="32"/>
          <w:szCs w:val="32"/>
          <w:highlight w:val="none"/>
          <w:u w:val="none"/>
          <w:lang w:val="en-US" w:eastAsia="zh-CN"/>
        </w:rPr>
        <w:t>评价方法</w:t>
      </w:r>
    </w:p>
    <w:p w14:paraId="48DACC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highlight w:val="none"/>
          <w:lang w:val="en-US" w:eastAsia="zh-CN"/>
        </w:rPr>
      </w:pPr>
      <w:r>
        <w:rPr>
          <w:rFonts w:hint="eastAsia" w:ascii="仿宋_GB2312" w:hAnsi="仿宋_GB2312" w:eastAsia="仿宋_GB2312" w:cs="仿宋_GB2312"/>
          <w:color w:val="auto"/>
          <w:kern w:val="0"/>
          <w:highlight w:val="none"/>
          <w:lang w:val="en-US" w:eastAsia="zh-CN"/>
        </w:rPr>
        <w:t>本次绩效评价通过定性评价与定量评价相结合，采用比较法、因素分析法和公众评判法，以资料核查、访谈、满意度调查等方式，从决策、过程、产出、效益四个维度对</w:t>
      </w:r>
      <w:r>
        <w:rPr>
          <w:rFonts w:hint="eastAsia" w:ascii="仿宋_GB2312" w:hAnsi="仿宋_GB2312" w:eastAsia="仿宋_GB2312" w:cs="仿宋_GB2312"/>
          <w:sz w:val="32"/>
          <w:szCs w:val="32"/>
          <w:highlight w:val="none"/>
          <w:u w:val="none"/>
          <w:lang w:val="en-US" w:eastAsia="zh-CN"/>
        </w:rPr>
        <w:t>2023年度统计业务专项经费</w:t>
      </w:r>
      <w:r>
        <w:rPr>
          <w:rFonts w:hint="eastAsia" w:ascii="仿宋_GB2312" w:hAnsi="仿宋_GB2312" w:eastAsia="仿宋_GB2312" w:cs="仿宋_GB2312"/>
          <w:kern w:val="0"/>
          <w:sz w:val="32"/>
          <w:highlight w:val="none"/>
          <w:lang w:val="en-US" w:eastAsia="zh-CN"/>
        </w:rPr>
        <w:t>绩效情况进行综合评价。</w:t>
      </w:r>
    </w:p>
    <w:p w14:paraId="74FBE6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4.</w:t>
      </w:r>
      <w:r>
        <w:rPr>
          <w:rFonts w:hint="default" w:ascii="仿宋_GB2312" w:hAnsi="仿宋_GB2312" w:eastAsia="仿宋_GB2312" w:cs="仿宋_GB2312"/>
          <w:b/>
          <w:bCs/>
          <w:sz w:val="32"/>
          <w:szCs w:val="32"/>
          <w:highlight w:val="none"/>
          <w:u w:val="none"/>
          <w:lang w:val="en-US" w:eastAsia="zh-CN"/>
        </w:rPr>
        <w:t>评价标准</w:t>
      </w:r>
    </w:p>
    <w:p w14:paraId="54D43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仿宋_GB2312"/>
          <w:color w:val="auto"/>
          <w:kern w:val="0"/>
          <w:sz w:val="32"/>
          <w:highlight w:val="none"/>
        </w:rPr>
      </w:pPr>
      <w:r>
        <w:rPr>
          <w:rFonts w:hint="eastAsia" w:ascii="Times New Roman" w:hAnsi="Times New Roman" w:cs="仿宋_GB2312"/>
          <w:kern w:val="0"/>
          <w:sz w:val="32"/>
        </w:rPr>
        <w:t>绩效评价标准包括计划标准、行业标准、历史标准等，用于</w:t>
      </w:r>
      <w:r>
        <w:rPr>
          <w:rFonts w:hint="eastAsia" w:ascii="Times New Roman" w:hAnsi="Times New Roman" w:cs="仿宋_GB2312"/>
          <w:color w:val="auto"/>
          <w:kern w:val="0"/>
          <w:sz w:val="32"/>
          <w:highlight w:val="none"/>
        </w:rPr>
        <w:t>对绩效指标完成情况进行比较。</w:t>
      </w:r>
    </w:p>
    <w:p w14:paraId="358895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eastAsia="黑体" w:cs="Times New Roman"/>
          <w:sz w:val="32"/>
          <w:szCs w:val="32"/>
          <w:highlight w:val="none"/>
          <w:u w:val="none"/>
          <w:lang w:val="en-US" w:eastAsia="zh-CN"/>
        </w:rPr>
      </w:pPr>
      <w:bookmarkStart w:id="13" w:name="_Toc4819"/>
      <w:bookmarkStart w:id="14" w:name="_Toc887394565"/>
      <w:r>
        <w:rPr>
          <w:rFonts w:hint="default" w:eastAsia="黑体" w:cs="Times New Roman"/>
          <w:sz w:val="32"/>
          <w:szCs w:val="32"/>
          <w:highlight w:val="none"/>
          <w:u w:val="none"/>
          <w:lang w:val="en-US" w:eastAsia="zh-CN"/>
        </w:rPr>
        <w:t>三、综合评价情况及评价结论</w:t>
      </w:r>
      <w:bookmarkEnd w:id="13"/>
      <w:bookmarkEnd w:id="14"/>
    </w:p>
    <w:p w14:paraId="41A911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通过查阅资料、数据采集、座谈交流、问卷调查及访谈等方式，结合项目实际完成情况，对安康市统计局2023年统计业务工作经费进行客观评价。该项目立项依据充分、资金支出用途合法，统计相关工作完成情况较好，整体实施效益较好。但是存在</w:t>
      </w:r>
      <w:r>
        <w:rPr>
          <w:rFonts w:hint="eastAsia" w:ascii="仿宋_GB2312" w:hAnsi="仿宋_GB2312" w:eastAsia="仿宋_GB2312" w:cs="仿宋_GB2312"/>
        </w:rPr>
        <w:t>产出指标、效益指标细化分解不足</w:t>
      </w:r>
      <w:r>
        <w:rPr>
          <w:rFonts w:hint="eastAsia" w:ascii="仿宋_GB2312" w:hAnsi="仿宋_GB2312" w:eastAsia="仿宋_GB2312" w:cs="仿宋_GB2312"/>
          <w:lang w:val="en-US" w:eastAsia="zh-CN"/>
        </w:rPr>
        <w:t>等</w:t>
      </w:r>
      <w:r>
        <w:rPr>
          <w:rFonts w:hint="eastAsia" w:ascii="仿宋_GB2312" w:hAnsi="仿宋_GB2312" w:eastAsia="仿宋_GB2312" w:cs="仿宋_GB2312"/>
          <w:color w:val="auto"/>
          <w:sz w:val="32"/>
          <w:szCs w:val="32"/>
          <w:highlight w:val="none"/>
          <w:u w:val="none"/>
          <w:lang w:val="en-US" w:eastAsia="zh-CN"/>
        </w:rPr>
        <w:t>问题。该项目最终评分为“</w:t>
      </w:r>
      <w:r>
        <w:rPr>
          <w:rFonts w:hint="eastAsia" w:ascii="仿宋_GB2312" w:hAnsi="仿宋_GB2312" w:cs="仿宋_GB2312"/>
          <w:color w:val="auto"/>
          <w:sz w:val="32"/>
          <w:szCs w:val="32"/>
          <w:highlight w:val="none"/>
          <w:u w:val="none"/>
          <w:lang w:val="en-US" w:eastAsia="zh-CN"/>
        </w:rPr>
        <w:t>90</w:t>
      </w:r>
      <w:r>
        <w:rPr>
          <w:rFonts w:hint="eastAsia" w:ascii="仿宋_GB2312" w:hAnsi="仿宋_GB2312" w:eastAsia="仿宋_GB2312" w:cs="仿宋_GB2312"/>
          <w:color w:val="auto"/>
          <w:sz w:val="32"/>
          <w:szCs w:val="32"/>
          <w:highlight w:val="none"/>
          <w:u w:val="none"/>
          <w:lang w:val="en-US" w:eastAsia="zh-CN"/>
        </w:rPr>
        <w:t>.66”分，绩效评级为“</w:t>
      </w:r>
      <w:r>
        <w:rPr>
          <w:rFonts w:hint="eastAsia" w:ascii="仿宋_GB2312" w:hAnsi="仿宋_GB2312" w:cs="仿宋_GB2312"/>
          <w:color w:val="auto"/>
          <w:sz w:val="32"/>
          <w:szCs w:val="32"/>
          <w:highlight w:val="none"/>
          <w:u w:val="none"/>
          <w:lang w:val="en-US" w:eastAsia="zh-CN"/>
        </w:rPr>
        <w:t>A</w:t>
      </w:r>
      <w:r>
        <w:rPr>
          <w:rFonts w:hint="eastAsia" w:ascii="仿宋_GB2312" w:hAnsi="仿宋_GB2312" w:eastAsia="仿宋_GB2312" w:cs="仿宋_GB2312"/>
          <w:color w:val="auto"/>
          <w:sz w:val="32"/>
          <w:szCs w:val="32"/>
          <w:highlight w:val="none"/>
          <w:u w:val="none"/>
          <w:lang w:val="en-US" w:eastAsia="zh-CN"/>
        </w:rPr>
        <w:t>”。各部分权重和绩效分值详见下表：</w:t>
      </w:r>
    </w:p>
    <w:p w14:paraId="1EEB3502">
      <w:pPr>
        <w:spacing w:line="560" w:lineRule="exact"/>
        <w:jc w:val="center"/>
        <w:rPr>
          <w:rFonts w:hint="eastAsia" w:ascii="仿宋_GB2312" w:hAnsi="仿宋_GB2312" w:eastAsia="仿宋_GB2312" w:cs="仿宋_GB2312"/>
          <w:b/>
          <w:bCs/>
          <w:sz w:val="28"/>
          <w:szCs w:val="28"/>
          <w:highlight w:val="none"/>
          <w:u w:val="none"/>
        </w:rPr>
      </w:pPr>
      <w:r>
        <w:rPr>
          <w:rFonts w:hint="eastAsia" w:ascii="仿宋_GB2312" w:hAnsi="仿宋_GB2312" w:eastAsia="仿宋_GB2312" w:cs="仿宋_GB2312"/>
          <w:b/>
          <w:bCs/>
          <w:sz w:val="28"/>
          <w:szCs w:val="28"/>
          <w:highlight w:val="none"/>
          <w:u w:val="none"/>
          <w:lang w:val="en-US" w:eastAsia="zh-CN"/>
        </w:rPr>
        <w:t>安康市统计局</w:t>
      </w:r>
      <w:r>
        <w:rPr>
          <w:rFonts w:hint="eastAsia" w:ascii="仿宋_GB2312" w:hAnsi="仿宋_GB2312" w:eastAsia="仿宋_GB2312" w:cs="仿宋_GB2312"/>
          <w:b/>
          <w:bCs/>
          <w:sz w:val="28"/>
          <w:szCs w:val="28"/>
          <w:highlight w:val="none"/>
          <w:u w:val="none"/>
        </w:rPr>
        <w:t>2023年</w:t>
      </w:r>
      <w:r>
        <w:rPr>
          <w:rFonts w:hint="eastAsia" w:ascii="仿宋_GB2312" w:hAnsi="仿宋_GB2312" w:eastAsia="仿宋_GB2312" w:cs="仿宋_GB2312"/>
          <w:b/>
          <w:bCs/>
          <w:sz w:val="28"/>
          <w:szCs w:val="28"/>
          <w:highlight w:val="none"/>
          <w:u w:val="none"/>
          <w:lang w:eastAsia="zh-CN"/>
        </w:rPr>
        <w:t>统计业务工作</w:t>
      </w:r>
      <w:r>
        <w:rPr>
          <w:rFonts w:hint="eastAsia" w:ascii="仿宋_GB2312" w:hAnsi="仿宋_GB2312" w:eastAsia="仿宋_GB2312" w:cs="仿宋_GB2312"/>
          <w:b/>
          <w:bCs/>
          <w:sz w:val="28"/>
          <w:szCs w:val="28"/>
          <w:highlight w:val="none"/>
          <w:u w:val="none"/>
        </w:rPr>
        <w:t>经费项目指标评分表</w:t>
      </w:r>
    </w:p>
    <w:tbl>
      <w:tblPr>
        <w:tblStyle w:val="13"/>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73"/>
        <w:gridCol w:w="5"/>
        <w:gridCol w:w="2068"/>
        <w:gridCol w:w="10"/>
        <w:gridCol w:w="2063"/>
        <w:gridCol w:w="15"/>
        <w:gridCol w:w="2085"/>
      </w:tblGrid>
      <w:tr w14:paraId="462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2073" w:type="dxa"/>
            <w:shd w:val="clear" w:color="auto" w:fill="auto"/>
            <w:tcMar>
              <w:top w:w="10" w:type="dxa"/>
              <w:left w:w="10" w:type="dxa"/>
              <w:right w:w="10" w:type="dxa"/>
            </w:tcMar>
            <w:vAlign w:val="center"/>
          </w:tcPr>
          <w:p w14:paraId="7CF93CAF">
            <w:pPr>
              <w:bidi w:val="0"/>
              <w:spacing w:line="240" w:lineRule="auto"/>
              <w:ind w:firstLine="0" w:firstLineChars="0"/>
              <w:jc w:val="center"/>
              <w:rPr>
                <w:rFonts w:hint="default" w:ascii="Times New Roman" w:hAnsi="Times New Roman" w:eastAsia="FangSong_GB2312" w:cs="Times New Roman"/>
                <w:b/>
                <w:bCs/>
                <w:sz w:val="24"/>
                <w:szCs w:val="24"/>
                <w:highlight w:val="none"/>
                <w:u w:val="none"/>
                <w:lang w:val="en-US" w:eastAsia="zh-CN"/>
              </w:rPr>
            </w:pPr>
          </w:p>
          <w:p w14:paraId="6D231818">
            <w:pPr>
              <w:bidi w:val="0"/>
              <w:spacing w:line="240" w:lineRule="auto"/>
              <w:ind w:firstLine="0" w:firstLineChars="0"/>
              <w:jc w:val="center"/>
              <w:rPr>
                <w:rFonts w:hint="default" w:ascii="Times New Roman" w:hAnsi="Times New Roman" w:eastAsia="FangSong_GB2312" w:cs="Times New Roman"/>
                <w:b/>
                <w:bCs/>
                <w:sz w:val="24"/>
                <w:szCs w:val="24"/>
                <w:highlight w:val="none"/>
                <w:u w:val="none"/>
                <w:lang w:val="en-US" w:eastAsia="zh-CN"/>
              </w:rPr>
            </w:pPr>
            <w:r>
              <w:rPr>
                <w:rFonts w:hint="default" w:ascii="Times New Roman" w:hAnsi="Times New Roman" w:eastAsia="FangSong_GB2312" w:cs="Times New Roman"/>
                <w:b/>
                <w:bCs/>
                <w:sz w:val="24"/>
                <w:szCs w:val="24"/>
                <w:highlight w:val="none"/>
                <w:u w:val="none"/>
                <w:lang w:val="en-US" w:eastAsia="zh-CN"/>
              </w:rPr>
              <w:t>一级指标</w:t>
            </w:r>
          </w:p>
        </w:tc>
        <w:tc>
          <w:tcPr>
            <w:tcW w:w="2073" w:type="dxa"/>
            <w:gridSpan w:val="2"/>
            <w:shd w:val="clear" w:color="auto" w:fill="auto"/>
            <w:tcMar>
              <w:top w:w="10" w:type="dxa"/>
              <w:left w:w="10" w:type="dxa"/>
              <w:right w:w="10" w:type="dxa"/>
            </w:tcMar>
            <w:vAlign w:val="center"/>
          </w:tcPr>
          <w:p w14:paraId="52D47AB6">
            <w:pPr>
              <w:bidi w:val="0"/>
              <w:spacing w:line="240" w:lineRule="auto"/>
              <w:ind w:firstLine="0" w:firstLineChars="0"/>
              <w:jc w:val="center"/>
              <w:rPr>
                <w:rFonts w:hint="default" w:ascii="Times New Roman" w:hAnsi="Times New Roman" w:eastAsia="FangSong_GB2312" w:cs="Times New Roman"/>
                <w:b/>
                <w:bCs/>
                <w:sz w:val="24"/>
                <w:szCs w:val="24"/>
                <w:highlight w:val="none"/>
                <w:u w:val="none"/>
                <w:lang w:val="en-US" w:eastAsia="zh-CN"/>
              </w:rPr>
            </w:pPr>
          </w:p>
          <w:p w14:paraId="338397E1">
            <w:pPr>
              <w:bidi w:val="0"/>
              <w:spacing w:line="240" w:lineRule="auto"/>
              <w:ind w:firstLine="0" w:firstLineChars="0"/>
              <w:jc w:val="center"/>
              <w:rPr>
                <w:rFonts w:hint="default" w:ascii="Times New Roman" w:hAnsi="Times New Roman" w:eastAsia="FangSong_GB2312" w:cs="Times New Roman"/>
                <w:b/>
                <w:bCs/>
                <w:sz w:val="24"/>
                <w:szCs w:val="24"/>
                <w:highlight w:val="none"/>
                <w:u w:val="none"/>
              </w:rPr>
            </w:pPr>
            <w:r>
              <w:rPr>
                <w:rFonts w:hint="default" w:ascii="Times New Roman" w:hAnsi="Times New Roman" w:eastAsia="FangSong_GB2312" w:cs="Times New Roman"/>
                <w:b/>
                <w:bCs/>
                <w:sz w:val="24"/>
                <w:szCs w:val="24"/>
                <w:highlight w:val="none"/>
                <w:u w:val="none"/>
                <w:lang w:val="en-US" w:eastAsia="zh-CN"/>
              </w:rPr>
              <w:t>分值</w:t>
            </w:r>
          </w:p>
        </w:tc>
        <w:tc>
          <w:tcPr>
            <w:tcW w:w="2073" w:type="dxa"/>
            <w:gridSpan w:val="2"/>
            <w:shd w:val="clear" w:color="auto" w:fill="auto"/>
            <w:tcMar>
              <w:top w:w="10" w:type="dxa"/>
              <w:left w:w="10" w:type="dxa"/>
              <w:right w:w="10" w:type="dxa"/>
            </w:tcMar>
            <w:vAlign w:val="center"/>
          </w:tcPr>
          <w:p w14:paraId="2325F462">
            <w:pPr>
              <w:bidi w:val="0"/>
              <w:spacing w:line="240" w:lineRule="auto"/>
              <w:ind w:firstLine="0" w:firstLineChars="0"/>
              <w:jc w:val="center"/>
              <w:rPr>
                <w:rFonts w:hint="default" w:ascii="Times New Roman" w:hAnsi="Times New Roman" w:eastAsia="FangSong_GB2312" w:cs="Times New Roman"/>
                <w:b/>
                <w:bCs/>
                <w:sz w:val="24"/>
                <w:szCs w:val="24"/>
                <w:highlight w:val="none"/>
                <w:u w:val="none"/>
                <w:lang w:val="en-US" w:eastAsia="zh-CN"/>
              </w:rPr>
            </w:pPr>
          </w:p>
          <w:p w14:paraId="2C84AC07">
            <w:pPr>
              <w:bidi w:val="0"/>
              <w:spacing w:line="240" w:lineRule="auto"/>
              <w:ind w:firstLine="0" w:firstLineChars="0"/>
              <w:jc w:val="center"/>
              <w:rPr>
                <w:rFonts w:hint="default" w:ascii="Times New Roman" w:hAnsi="Times New Roman" w:eastAsia="FangSong_GB2312" w:cs="Times New Roman"/>
                <w:b/>
                <w:bCs/>
                <w:sz w:val="24"/>
                <w:szCs w:val="24"/>
                <w:highlight w:val="none"/>
                <w:u w:val="none"/>
                <w:lang w:val="en-US" w:eastAsia="zh-CN"/>
              </w:rPr>
            </w:pPr>
            <w:r>
              <w:rPr>
                <w:rFonts w:hint="default" w:ascii="Times New Roman" w:hAnsi="Times New Roman" w:eastAsia="FangSong_GB2312" w:cs="Times New Roman"/>
                <w:b/>
                <w:bCs/>
                <w:sz w:val="24"/>
                <w:szCs w:val="24"/>
                <w:highlight w:val="none"/>
                <w:u w:val="none"/>
                <w:lang w:val="en-US" w:eastAsia="zh-CN"/>
              </w:rPr>
              <w:t>得分</w:t>
            </w:r>
          </w:p>
        </w:tc>
        <w:tc>
          <w:tcPr>
            <w:tcW w:w="2100" w:type="dxa"/>
            <w:gridSpan w:val="2"/>
            <w:shd w:val="clear" w:color="auto" w:fill="auto"/>
            <w:tcMar>
              <w:top w:w="10" w:type="dxa"/>
              <w:left w:w="10" w:type="dxa"/>
              <w:right w:w="10" w:type="dxa"/>
            </w:tcMar>
            <w:vAlign w:val="center"/>
          </w:tcPr>
          <w:p w14:paraId="574A86EA">
            <w:pPr>
              <w:bidi w:val="0"/>
              <w:spacing w:line="240" w:lineRule="auto"/>
              <w:ind w:firstLine="0" w:firstLineChars="0"/>
              <w:jc w:val="center"/>
              <w:rPr>
                <w:rFonts w:hint="default" w:ascii="Times New Roman" w:hAnsi="Times New Roman" w:eastAsia="FangSong_GB2312" w:cs="Times New Roman"/>
                <w:b/>
                <w:bCs/>
                <w:sz w:val="24"/>
                <w:szCs w:val="24"/>
                <w:highlight w:val="none"/>
                <w:u w:val="none"/>
                <w:lang w:val="en-US" w:eastAsia="zh-CN"/>
              </w:rPr>
            </w:pPr>
          </w:p>
          <w:p w14:paraId="5A182BE0">
            <w:pPr>
              <w:bidi w:val="0"/>
              <w:spacing w:line="240" w:lineRule="auto"/>
              <w:ind w:firstLine="0" w:firstLineChars="0"/>
              <w:jc w:val="center"/>
              <w:rPr>
                <w:rFonts w:hint="default" w:ascii="Times New Roman" w:hAnsi="Times New Roman" w:eastAsia="FangSong_GB2312" w:cs="Times New Roman"/>
                <w:b/>
                <w:bCs/>
                <w:sz w:val="24"/>
                <w:szCs w:val="24"/>
                <w:highlight w:val="none"/>
                <w:u w:val="none"/>
                <w:lang w:val="en-US" w:eastAsia="zh-CN"/>
              </w:rPr>
            </w:pPr>
            <w:r>
              <w:rPr>
                <w:rFonts w:hint="default" w:ascii="Times New Roman" w:hAnsi="Times New Roman" w:eastAsia="FangSong_GB2312" w:cs="Times New Roman"/>
                <w:b/>
                <w:bCs/>
                <w:sz w:val="24"/>
                <w:szCs w:val="24"/>
                <w:highlight w:val="none"/>
                <w:u w:val="none"/>
                <w:lang w:val="en-US" w:eastAsia="zh-CN"/>
              </w:rPr>
              <w:t>得分率</w:t>
            </w:r>
          </w:p>
        </w:tc>
      </w:tr>
      <w:tr w14:paraId="69BC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73" w:type="dxa"/>
            <w:shd w:val="clear" w:color="auto" w:fill="auto"/>
            <w:tcMar>
              <w:top w:w="10" w:type="dxa"/>
              <w:left w:w="10" w:type="dxa"/>
              <w:right w:w="10" w:type="dxa"/>
            </w:tcMar>
            <w:vAlign w:val="center"/>
          </w:tcPr>
          <w:p w14:paraId="260F9A27">
            <w:pPr>
              <w:bidi w:val="0"/>
              <w:spacing w:line="240" w:lineRule="auto"/>
              <w:ind w:firstLine="0" w:firstLineChars="0"/>
              <w:jc w:val="cente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决策</w:t>
            </w:r>
          </w:p>
        </w:tc>
        <w:tc>
          <w:tcPr>
            <w:tcW w:w="2073" w:type="dxa"/>
            <w:gridSpan w:val="2"/>
            <w:shd w:val="clear" w:color="auto" w:fill="auto"/>
            <w:tcMar>
              <w:top w:w="10" w:type="dxa"/>
              <w:left w:w="10" w:type="dxa"/>
              <w:right w:w="10" w:type="dxa"/>
            </w:tcMar>
            <w:vAlign w:val="center"/>
          </w:tcPr>
          <w:p w14:paraId="41451A3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lang w:val="en-US"/>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2073" w:type="dxa"/>
            <w:gridSpan w:val="2"/>
            <w:shd w:val="clear" w:color="auto" w:fill="auto"/>
            <w:tcMar>
              <w:top w:w="10" w:type="dxa"/>
              <w:left w:w="10" w:type="dxa"/>
              <w:right w:w="10" w:type="dxa"/>
            </w:tcMar>
            <w:vAlign w:val="center"/>
          </w:tcPr>
          <w:p w14:paraId="535902D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9.00</w:t>
            </w:r>
          </w:p>
        </w:tc>
        <w:tc>
          <w:tcPr>
            <w:tcW w:w="2100" w:type="dxa"/>
            <w:gridSpan w:val="2"/>
            <w:shd w:val="clear" w:color="auto" w:fill="auto"/>
            <w:tcMar>
              <w:top w:w="10" w:type="dxa"/>
              <w:left w:w="10" w:type="dxa"/>
              <w:right w:w="10" w:type="dxa"/>
            </w:tcMar>
            <w:vAlign w:val="center"/>
          </w:tcPr>
          <w:p w14:paraId="3B2FC65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lang w:val="en-US" w:eastAsia="zh-CN"/>
              </w:rPr>
            </w:pPr>
            <w:r>
              <w:rPr>
                <w:rFonts w:hint="eastAsia" w:ascii="仿宋_GB2312" w:hAnsi="仿宋_GB2312" w:cs="仿宋_GB2312"/>
                <w:i w:val="0"/>
                <w:iCs w:val="0"/>
                <w:color w:val="000000"/>
                <w:kern w:val="0"/>
                <w:sz w:val="24"/>
                <w:szCs w:val="24"/>
                <w:u w:val="none"/>
                <w:lang w:val="en-US" w:eastAsia="zh-CN" w:bidi="ar"/>
              </w:rPr>
              <w:t>9</w:t>
            </w:r>
            <w:r>
              <w:rPr>
                <w:rFonts w:hint="eastAsia" w:ascii="仿宋_GB2312" w:hAnsi="仿宋_GB2312" w:eastAsia="仿宋_GB2312" w:cs="仿宋_GB2312"/>
                <w:i w:val="0"/>
                <w:iCs w:val="0"/>
                <w:color w:val="000000"/>
                <w:kern w:val="0"/>
                <w:sz w:val="24"/>
                <w:szCs w:val="24"/>
                <w:u w:val="none"/>
                <w:lang w:val="en-US" w:eastAsia="zh-CN" w:bidi="ar"/>
              </w:rPr>
              <w:t>0.00%</w:t>
            </w:r>
          </w:p>
        </w:tc>
      </w:tr>
      <w:tr w14:paraId="7049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73" w:type="dxa"/>
            <w:shd w:val="clear" w:color="auto" w:fill="auto"/>
            <w:tcMar>
              <w:top w:w="10" w:type="dxa"/>
              <w:left w:w="10" w:type="dxa"/>
              <w:right w:w="10" w:type="dxa"/>
            </w:tcMar>
            <w:vAlign w:val="center"/>
          </w:tcPr>
          <w:p w14:paraId="2E6B9202">
            <w:pPr>
              <w:bidi w:val="0"/>
              <w:spacing w:line="240" w:lineRule="auto"/>
              <w:ind w:firstLine="0" w:firstLineChars="0"/>
              <w:jc w:val="center"/>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过程</w:t>
            </w:r>
          </w:p>
        </w:tc>
        <w:tc>
          <w:tcPr>
            <w:tcW w:w="2073" w:type="dxa"/>
            <w:gridSpan w:val="2"/>
            <w:shd w:val="clear" w:color="auto" w:fill="auto"/>
            <w:tcMar>
              <w:top w:w="10" w:type="dxa"/>
              <w:left w:w="10" w:type="dxa"/>
              <w:right w:w="10" w:type="dxa"/>
            </w:tcMar>
            <w:vAlign w:val="center"/>
          </w:tcPr>
          <w:p w14:paraId="10DCE83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i w:val="0"/>
                <w:iCs w:val="0"/>
                <w:color w:val="000000"/>
                <w:kern w:val="0"/>
                <w:sz w:val="24"/>
                <w:szCs w:val="24"/>
                <w:u w:val="none"/>
                <w:lang w:val="en-US" w:eastAsia="zh-CN" w:bidi="ar"/>
              </w:rPr>
              <w:t>27.00</w:t>
            </w:r>
          </w:p>
        </w:tc>
        <w:tc>
          <w:tcPr>
            <w:tcW w:w="2073" w:type="dxa"/>
            <w:gridSpan w:val="2"/>
            <w:shd w:val="clear" w:color="auto" w:fill="auto"/>
            <w:tcMar>
              <w:top w:w="10" w:type="dxa"/>
              <w:left w:w="10" w:type="dxa"/>
              <w:right w:w="10" w:type="dxa"/>
            </w:tcMar>
            <w:vAlign w:val="center"/>
          </w:tcPr>
          <w:p w14:paraId="59806D9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lang w:val="en-US" w:eastAsia="zh-CN"/>
              </w:rPr>
            </w:pPr>
            <w:r>
              <w:rPr>
                <w:rFonts w:hint="eastAsia" w:ascii="仿宋_GB2312" w:hAnsi="仿宋_GB2312" w:cs="仿宋_GB2312"/>
                <w:i w:val="0"/>
                <w:iCs w:val="0"/>
                <w:color w:val="000000"/>
                <w:kern w:val="0"/>
                <w:sz w:val="24"/>
                <w:szCs w:val="24"/>
                <w:u w:val="none"/>
                <w:lang w:val="en-US" w:eastAsia="zh-CN" w:bidi="ar"/>
              </w:rPr>
              <w:t>20</w:t>
            </w:r>
            <w:r>
              <w:rPr>
                <w:rFonts w:hint="eastAsia" w:ascii="仿宋_GB2312" w:hAnsi="仿宋_GB2312" w:eastAsia="仿宋_GB2312" w:cs="仿宋_GB2312"/>
                <w:i w:val="0"/>
                <w:iCs w:val="0"/>
                <w:color w:val="000000"/>
                <w:kern w:val="0"/>
                <w:sz w:val="24"/>
                <w:szCs w:val="24"/>
                <w:u w:val="none"/>
                <w:lang w:val="en-US" w:eastAsia="zh-CN" w:bidi="ar"/>
              </w:rPr>
              <w:t>.26</w:t>
            </w:r>
          </w:p>
        </w:tc>
        <w:tc>
          <w:tcPr>
            <w:tcW w:w="2100" w:type="dxa"/>
            <w:gridSpan w:val="2"/>
            <w:shd w:val="clear" w:color="auto" w:fill="auto"/>
            <w:tcMar>
              <w:top w:w="10" w:type="dxa"/>
              <w:left w:w="10" w:type="dxa"/>
              <w:right w:w="10" w:type="dxa"/>
            </w:tcMar>
            <w:vAlign w:val="center"/>
          </w:tcPr>
          <w:p w14:paraId="7CE1561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lang w:val="en-US" w:eastAsia="zh-CN"/>
              </w:rPr>
            </w:pPr>
            <w:r>
              <w:rPr>
                <w:rFonts w:hint="eastAsia" w:ascii="仿宋_GB2312" w:hAnsi="仿宋_GB2312" w:cs="仿宋_GB2312"/>
                <w:i w:val="0"/>
                <w:iCs w:val="0"/>
                <w:color w:val="000000"/>
                <w:kern w:val="0"/>
                <w:sz w:val="24"/>
                <w:szCs w:val="24"/>
                <w:u w:val="none"/>
                <w:lang w:val="en-US" w:eastAsia="zh-CN" w:bidi="ar"/>
              </w:rPr>
              <w:t>75.04</w:t>
            </w:r>
            <w:r>
              <w:rPr>
                <w:rFonts w:hint="eastAsia" w:ascii="仿宋_GB2312" w:hAnsi="仿宋_GB2312" w:eastAsia="仿宋_GB2312" w:cs="仿宋_GB2312"/>
                <w:i w:val="0"/>
                <w:iCs w:val="0"/>
                <w:color w:val="000000"/>
                <w:kern w:val="0"/>
                <w:sz w:val="24"/>
                <w:szCs w:val="24"/>
                <w:u w:val="none"/>
                <w:lang w:val="en-US" w:eastAsia="zh-CN" w:bidi="ar"/>
              </w:rPr>
              <w:t>%</w:t>
            </w:r>
          </w:p>
        </w:tc>
      </w:tr>
      <w:tr w14:paraId="4740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73" w:type="dxa"/>
            <w:shd w:val="clear" w:color="auto" w:fill="auto"/>
            <w:tcMar>
              <w:top w:w="10" w:type="dxa"/>
              <w:left w:w="10" w:type="dxa"/>
              <w:right w:w="10" w:type="dxa"/>
            </w:tcMar>
            <w:vAlign w:val="center"/>
          </w:tcPr>
          <w:p w14:paraId="1FAB7014">
            <w:pPr>
              <w:bidi w:val="0"/>
              <w:spacing w:line="240" w:lineRule="auto"/>
              <w:ind w:firstLine="0" w:firstLineChars="0"/>
              <w:jc w:val="center"/>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产出</w:t>
            </w:r>
          </w:p>
        </w:tc>
        <w:tc>
          <w:tcPr>
            <w:tcW w:w="2073" w:type="dxa"/>
            <w:gridSpan w:val="2"/>
            <w:shd w:val="clear" w:color="auto" w:fill="auto"/>
            <w:tcMar>
              <w:top w:w="10" w:type="dxa"/>
              <w:left w:w="10" w:type="dxa"/>
              <w:right w:w="10" w:type="dxa"/>
            </w:tcMar>
            <w:vAlign w:val="center"/>
          </w:tcPr>
          <w:p w14:paraId="2B4420C0">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rPr>
            </w:pPr>
            <w:r>
              <w:rPr>
                <w:rFonts w:hint="eastAsia" w:ascii="仿宋_GB2312" w:hAnsi="仿宋_GB2312" w:eastAsia="仿宋_GB2312" w:cs="仿宋_GB2312"/>
                <w:i w:val="0"/>
                <w:iCs w:val="0"/>
                <w:color w:val="000000"/>
                <w:kern w:val="0"/>
                <w:sz w:val="24"/>
                <w:szCs w:val="24"/>
                <w:u w:val="none"/>
                <w:lang w:val="en-US" w:eastAsia="zh-CN" w:bidi="ar"/>
              </w:rPr>
              <w:t>38.00</w:t>
            </w:r>
          </w:p>
        </w:tc>
        <w:tc>
          <w:tcPr>
            <w:tcW w:w="2073" w:type="dxa"/>
            <w:gridSpan w:val="2"/>
            <w:shd w:val="clear" w:color="auto" w:fill="auto"/>
            <w:tcMar>
              <w:top w:w="10" w:type="dxa"/>
              <w:left w:w="10" w:type="dxa"/>
              <w:right w:w="10" w:type="dxa"/>
            </w:tcMar>
            <w:vAlign w:val="center"/>
          </w:tcPr>
          <w:p w14:paraId="0CC6FC7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37.45</w:t>
            </w:r>
          </w:p>
        </w:tc>
        <w:tc>
          <w:tcPr>
            <w:tcW w:w="2100" w:type="dxa"/>
            <w:gridSpan w:val="2"/>
            <w:shd w:val="clear" w:color="auto" w:fill="auto"/>
            <w:tcMar>
              <w:top w:w="10" w:type="dxa"/>
              <w:left w:w="10" w:type="dxa"/>
              <w:right w:w="10" w:type="dxa"/>
            </w:tcMar>
            <w:vAlign w:val="center"/>
          </w:tcPr>
          <w:p w14:paraId="153E745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98.55%</w:t>
            </w:r>
          </w:p>
        </w:tc>
      </w:tr>
      <w:tr w14:paraId="464D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73" w:type="dxa"/>
            <w:shd w:val="clear" w:color="auto" w:fill="auto"/>
            <w:tcMar>
              <w:top w:w="10" w:type="dxa"/>
              <w:left w:w="10" w:type="dxa"/>
              <w:right w:w="10" w:type="dxa"/>
            </w:tcMar>
            <w:vAlign w:val="center"/>
          </w:tcPr>
          <w:p w14:paraId="6E85F7F0">
            <w:pPr>
              <w:bidi w:val="0"/>
              <w:spacing w:line="240" w:lineRule="auto"/>
              <w:ind w:firstLine="0" w:firstLineChars="0"/>
              <w:jc w:val="cente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效益</w:t>
            </w:r>
          </w:p>
        </w:tc>
        <w:tc>
          <w:tcPr>
            <w:tcW w:w="2073" w:type="dxa"/>
            <w:gridSpan w:val="2"/>
            <w:shd w:val="clear" w:color="auto" w:fill="auto"/>
            <w:tcMar>
              <w:top w:w="10" w:type="dxa"/>
              <w:left w:w="10" w:type="dxa"/>
              <w:right w:w="10" w:type="dxa"/>
            </w:tcMar>
            <w:vAlign w:val="center"/>
          </w:tcPr>
          <w:p w14:paraId="45DB2B4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sz w:val="24"/>
                <w:szCs w:val="24"/>
                <w:highlight w:val="none"/>
                <w:u w:val="none"/>
              </w:rPr>
            </w:pPr>
            <w:r>
              <w:rPr>
                <w:rFonts w:hint="eastAsia" w:ascii="仿宋_GB2312" w:hAnsi="仿宋_GB2312" w:eastAsia="仿宋_GB2312" w:cs="仿宋_GB2312"/>
                <w:i w:val="0"/>
                <w:iCs w:val="0"/>
                <w:color w:val="000000"/>
                <w:kern w:val="0"/>
                <w:sz w:val="24"/>
                <w:szCs w:val="24"/>
                <w:u w:val="none"/>
                <w:lang w:val="en-US" w:eastAsia="zh-CN" w:bidi="ar"/>
              </w:rPr>
              <w:t>25.00</w:t>
            </w:r>
          </w:p>
        </w:tc>
        <w:tc>
          <w:tcPr>
            <w:tcW w:w="2073" w:type="dxa"/>
            <w:gridSpan w:val="2"/>
            <w:shd w:val="clear" w:color="auto" w:fill="auto"/>
            <w:tcMar>
              <w:top w:w="10" w:type="dxa"/>
              <w:left w:w="10" w:type="dxa"/>
              <w:right w:w="10" w:type="dxa"/>
            </w:tcMar>
            <w:vAlign w:val="center"/>
          </w:tcPr>
          <w:p w14:paraId="1E068AB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23.95</w:t>
            </w:r>
          </w:p>
        </w:tc>
        <w:tc>
          <w:tcPr>
            <w:tcW w:w="2100" w:type="dxa"/>
            <w:gridSpan w:val="2"/>
            <w:shd w:val="clear" w:color="auto" w:fill="auto"/>
            <w:tcMar>
              <w:top w:w="10" w:type="dxa"/>
              <w:left w:w="10" w:type="dxa"/>
              <w:right w:w="10" w:type="dxa"/>
            </w:tcMar>
            <w:vAlign w:val="center"/>
          </w:tcPr>
          <w:p w14:paraId="63445CE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95.8%</w:t>
            </w:r>
          </w:p>
        </w:tc>
      </w:tr>
      <w:tr w14:paraId="393F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78" w:type="dxa"/>
            <w:gridSpan w:val="2"/>
            <w:shd w:val="clear" w:color="auto" w:fill="auto"/>
            <w:tcMar>
              <w:top w:w="10" w:type="dxa"/>
              <w:left w:w="10" w:type="dxa"/>
              <w:right w:w="10" w:type="dxa"/>
            </w:tcMar>
            <w:vAlign w:val="center"/>
          </w:tcPr>
          <w:p w14:paraId="5386BA2F">
            <w:pPr>
              <w:bidi w:val="0"/>
              <w:spacing w:line="240" w:lineRule="auto"/>
              <w:ind w:firstLine="0" w:firstLineChars="0"/>
              <w:jc w:val="cente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合计</w:t>
            </w:r>
          </w:p>
        </w:tc>
        <w:tc>
          <w:tcPr>
            <w:tcW w:w="2078" w:type="dxa"/>
            <w:gridSpan w:val="2"/>
            <w:shd w:val="clear" w:color="auto" w:fill="auto"/>
            <w:tcMar>
              <w:top w:w="10" w:type="dxa"/>
              <w:left w:w="10" w:type="dxa"/>
              <w:right w:w="10" w:type="dxa"/>
            </w:tcMar>
            <w:vAlign w:val="center"/>
          </w:tcPr>
          <w:p w14:paraId="38EB4824">
            <w:pPr>
              <w:bidi w:val="0"/>
              <w:spacing w:line="240" w:lineRule="auto"/>
              <w:ind w:firstLine="0" w:firstLineChars="0"/>
              <w:jc w:val="cente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eastAsia="仿宋_GB2312" w:cs="仿宋_GB2312"/>
                <w:b w:val="0"/>
                <w:bCs w:val="0"/>
                <w:sz w:val="24"/>
                <w:szCs w:val="24"/>
                <w:highlight w:val="none"/>
                <w:u w:val="none"/>
                <w:lang w:val="en-US" w:eastAsia="zh-CN"/>
              </w:rPr>
              <w:t>100.00</w:t>
            </w:r>
          </w:p>
        </w:tc>
        <w:tc>
          <w:tcPr>
            <w:tcW w:w="2078" w:type="dxa"/>
            <w:gridSpan w:val="2"/>
            <w:shd w:val="clear" w:color="auto" w:fill="auto"/>
            <w:tcMar>
              <w:top w:w="10" w:type="dxa"/>
              <w:left w:w="10" w:type="dxa"/>
              <w:right w:w="10" w:type="dxa"/>
            </w:tcMar>
            <w:vAlign w:val="center"/>
          </w:tcPr>
          <w:p w14:paraId="12C82BE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cs="仿宋_GB2312"/>
                <w:i w:val="0"/>
                <w:iCs w:val="0"/>
                <w:color w:val="000000"/>
                <w:kern w:val="0"/>
                <w:sz w:val="24"/>
                <w:szCs w:val="24"/>
                <w:u w:val="none"/>
                <w:lang w:val="en-US" w:eastAsia="zh-CN" w:bidi="ar"/>
              </w:rPr>
              <w:t>90</w:t>
            </w:r>
            <w:r>
              <w:rPr>
                <w:rFonts w:hint="eastAsia" w:ascii="仿宋_GB2312" w:hAnsi="仿宋_GB2312" w:eastAsia="仿宋_GB2312" w:cs="仿宋_GB2312"/>
                <w:i w:val="0"/>
                <w:iCs w:val="0"/>
                <w:color w:val="000000"/>
                <w:kern w:val="0"/>
                <w:sz w:val="24"/>
                <w:szCs w:val="24"/>
                <w:u w:val="none"/>
                <w:lang w:val="en-US" w:eastAsia="zh-CN" w:bidi="ar"/>
              </w:rPr>
              <w:t>.66</w:t>
            </w:r>
          </w:p>
        </w:tc>
        <w:tc>
          <w:tcPr>
            <w:tcW w:w="2085" w:type="dxa"/>
            <w:shd w:val="clear" w:color="auto" w:fill="auto"/>
            <w:tcMar>
              <w:top w:w="10" w:type="dxa"/>
              <w:left w:w="10" w:type="dxa"/>
              <w:right w:w="10" w:type="dxa"/>
            </w:tcMar>
            <w:vAlign w:val="center"/>
          </w:tcPr>
          <w:p w14:paraId="6AC7398A">
            <w:pPr>
              <w:bidi w:val="0"/>
              <w:spacing w:line="240" w:lineRule="auto"/>
              <w:ind w:firstLine="0" w:firstLineChars="0"/>
              <w:jc w:val="center"/>
              <w:rPr>
                <w:rFonts w:hint="eastAsia" w:ascii="仿宋_GB2312" w:hAnsi="仿宋_GB2312" w:eastAsia="仿宋_GB2312" w:cs="仿宋_GB2312"/>
                <w:b w:val="0"/>
                <w:bCs w:val="0"/>
                <w:sz w:val="24"/>
                <w:szCs w:val="24"/>
                <w:highlight w:val="none"/>
                <w:u w:val="none"/>
                <w:lang w:val="en-US" w:eastAsia="zh-CN"/>
              </w:rPr>
            </w:pPr>
            <w:r>
              <w:rPr>
                <w:rFonts w:hint="eastAsia" w:ascii="仿宋_GB2312" w:hAnsi="仿宋_GB2312" w:cs="仿宋_GB2312"/>
                <w:b w:val="0"/>
                <w:bCs w:val="0"/>
                <w:sz w:val="24"/>
                <w:szCs w:val="24"/>
                <w:highlight w:val="none"/>
                <w:u w:val="none"/>
                <w:lang w:val="en-US" w:eastAsia="zh-CN"/>
              </w:rPr>
              <w:t>90</w:t>
            </w:r>
            <w:r>
              <w:rPr>
                <w:rFonts w:hint="eastAsia" w:ascii="仿宋_GB2312" w:hAnsi="仿宋_GB2312" w:eastAsia="仿宋_GB2312" w:cs="仿宋_GB2312"/>
                <w:b w:val="0"/>
                <w:bCs w:val="0"/>
                <w:sz w:val="24"/>
                <w:szCs w:val="24"/>
                <w:highlight w:val="none"/>
                <w:u w:val="none"/>
                <w:lang w:val="en-US" w:eastAsia="zh-CN"/>
              </w:rPr>
              <w:t>.66%</w:t>
            </w:r>
          </w:p>
        </w:tc>
      </w:tr>
      <w:tr w14:paraId="0942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319" w:type="dxa"/>
            <w:gridSpan w:val="7"/>
            <w:shd w:val="clear" w:color="auto" w:fill="auto"/>
            <w:tcMar>
              <w:top w:w="10" w:type="dxa"/>
              <w:left w:w="10" w:type="dxa"/>
              <w:right w:w="10" w:type="dxa"/>
            </w:tcMar>
            <w:vAlign w:val="center"/>
          </w:tcPr>
          <w:p w14:paraId="3185BB1D">
            <w:pPr>
              <w:bidi w:val="0"/>
              <w:spacing w:line="240" w:lineRule="auto"/>
              <w:ind w:firstLine="0" w:firstLineChars="0"/>
              <w:jc w:val="center"/>
              <w:rPr>
                <w:rFonts w:hint="default" w:ascii="Times New Roman" w:hAnsi="Times New Roman" w:eastAsia="FangSong_GB2312" w:cs="Times New Roman"/>
                <w:sz w:val="24"/>
                <w:szCs w:val="24"/>
                <w:highlight w:val="none"/>
                <w:u w:val="none"/>
                <w:lang w:val="en-US" w:eastAsia="zh-CN"/>
              </w:rPr>
            </w:pPr>
            <w:r>
              <w:rPr>
                <w:rFonts w:hint="eastAsia" w:ascii="仿宋_GB2312" w:hAnsi="仿宋_GB2312" w:eastAsia="仿宋_GB2312" w:cs="仿宋_GB2312"/>
                <w:b/>
                <w:bCs/>
                <w:sz w:val="24"/>
                <w:szCs w:val="24"/>
                <w:highlight w:val="none"/>
                <w:u w:val="none"/>
                <w:lang w:val="en-US" w:eastAsia="zh-CN"/>
              </w:rPr>
              <w:t>绩效评价得分：</w:t>
            </w:r>
            <w:r>
              <w:rPr>
                <w:rFonts w:hint="eastAsia" w:ascii="仿宋_GB2312" w:hAnsi="仿宋_GB2312" w:cs="仿宋_GB2312"/>
                <w:b/>
                <w:bCs/>
                <w:sz w:val="24"/>
                <w:szCs w:val="24"/>
                <w:highlight w:val="none"/>
                <w:u w:val="none"/>
                <w:lang w:val="en-US" w:eastAsia="zh-CN"/>
              </w:rPr>
              <w:t>90</w:t>
            </w:r>
            <w:r>
              <w:rPr>
                <w:rFonts w:hint="eastAsia" w:ascii="仿宋_GB2312" w:hAnsi="仿宋_GB2312" w:eastAsia="仿宋_GB2312" w:cs="仿宋_GB2312"/>
                <w:b/>
                <w:bCs/>
                <w:sz w:val="24"/>
                <w:szCs w:val="24"/>
                <w:highlight w:val="none"/>
                <w:u w:val="none"/>
                <w:lang w:val="en-US" w:eastAsia="zh-CN"/>
              </w:rPr>
              <w:t>.66  综合评价结果等级：</w:t>
            </w:r>
            <w:r>
              <w:rPr>
                <w:rFonts w:hint="eastAsia" w:ascii="仿宋_GB2312" w:hAnsi="仿宋_GB2312" w:cs="仿宋_GB2312"/>
                <w:b/>
                <w:bCs/>
                <w:sz w:val="24"/>
                <w:szCs w:val="24"/>
                <w:highlight w:val="none"/>
                <w:u w:val="none"/>
                <w:lang w:val="en-US" w:eastAsia="zh-CN"/>
              </w:rPr>
              <w:t>A</w:t>
            </w:r>
          </w:p>
        </w:tc>
      </w:tr>
    </w:tbl>
    <w:p w14:paraId="64B95B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highlight w:val="none"/>
          <w:u w:val="none"/>
        </w:rPr>
      </w:pPr>
      <w:bookmarkStart w:id="15" w:name="_Toc25228"/>
      <w:bookmarkStart w:id="16" w:name="_Toc166525540"/>
      <w:r>
        <w:rPr>
          <w:rFonts w:hint="eastAsia" w:eastAsia="黑体" w:cs="Times New Roman"/>
          <w:sz w:val="32"/>
          <w:szCs w:val="32"/>
          <w:highlight w:val="none"/>
          <w:u w:val="none"/>
          <w:lang w:val="en-US" w:eastAsia="zh-CN"/>
        </w:rPr>
        <w:t>四、</w:t>
      </w:r>
      <w:r>
        <w:rPr>
          <w:rFonts w:hint="default" w:ascii="Times New Roman" w:hAnsi="Times New Roman" w:eastAsia="黑体" w:cs="Times New Roman"/>
          <w:sz w:val="32"/>
          <w:szCs w:val="32"/>
          <w:highlight w:val="none"/>
          <w:u w:val="none"/>
        </w:rPr>
        <w:t>绩效评价指标分析</w:t>
      </w:r>
      <w:bookmarkEnd w:id="15"/>
      <w:bookmarkEnd w:id="16"/>
    </w:p>
    <w:p w14:paraId="362168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default" w:ascii="Times New Roman" w:hAnsi="Times New Roman" w:eastAsia="楷体" w:cs="Times New Roman"/>
          <w:b/>
          <w:bCs/>
          <w:sz w:val="32"/>
          <w:szCs w:val="32"/>
          <w:highlight w:val="none"/>
          <w:u w:val="none"/>
          <w:lang w:eastAsia="zh-CN"/>
        </w:rPr>
      </w:pPr>
      <w:bookmarkStart w:id="17" w:name="_Toc25178"/>
      <w:bookmarkStart w:id="18" w:name="_Toc623558739"/>
      <w:r>
        <w:rPr>
          <w:rFonts w:hint="eastAsia" w:eastAsia="楷体" w:cs="Times New Roman"/>
          <w:b/>
          <w:bCs/>
          <w:sz w:val="32"/>
          <w:szCs w:val="32"/>
          <w:highlight w:val="none"/>
          <w:u w:val="none"/>
          <w:lang w:eastAsia="zh-CN"/>
        </w:rPr>
        <w:t>（</w:t>
      </w:r>
      <w:r>
        <w:rPr>
          <w:rFonts w:hint="eastAsia" w:eastAsia="楷体" w:cs="Times New Roman"/>
          <w:b/>
          <w:bCs/>
          <w:sz w:val="32"/>
          <w:szCs w:val="32"/>
          <w:highlight w:val="none"/>
          <w:u w:val="none"/>
          <w:lang w:val="en-US" w:eastAsia="zh-CN"/>
        </w:rPr>
        <w:t>一</w:t>
      </w:r>
      <w:r>
        <w:rPr>
          <w:rFonts w:hint="eastAsia" w:eastAsia="楷体" w:cs="Times New Roman"/>
          <w:b/>
          <w:bCs/>
          <w:sz w:val="32"/>
          <w:szCs w:val="32"/>
          <w:highlight w:val="none"/>
          <w:u w:val="none"/>
          <w:lang w:eastAsia="zh-CN"/>
        </w:rPr>
        <w:t>）</w:t>
      </w:r>
      <w:r>
        <w:rPr>
          <w:rFonts w:hint="default" w:ascii="Times New Roman" w:hAnsi="Times New Roman" w:eastAsia="楷体" w:cs="Times New Roman"/>
          <w:b/>
          <w:bCs/>
          <w:sz w:val="32"/>
          <w:szCs w:val="32"/>
          <w:highlight w:val="none"/>
          <w:u w:val="none"/>
        </w:rPr>
        <w:t>项目决策情况</w:t>
      </w:r>
      <w:bookmarkEnd w:id="17"/>
      <w:bookmarkEnd w:id="18"/>
    </w:p>
    <w:p w14:paraId="116637FE">
      <w:pPr>
        <w:bidi w:val="0"/>
        <w:rPr>
          <w:rFonts w:hint="eastAsia"/>
          <w:lang w:val="en-US" w:eastAsia="zh-CN"/>
        </w:rPr>
      </w:pPr>
      <w:r>
        <w:rPr>
          <w:rFonts w:hint="eastAsia" w:ascii="仿宋_GB2312" w:hAnsi="仿宋_GB2312" w:eastAsia="仿宋_GB2312" w:cs="仿宋_GB2312"/>
        </w:rPr>
        <w:t>主要评价项目立项</w:t>
      </w:r>
      <w:r>
        <w:rPr>
          <w:rFonts w:hint="eastAsia" w:ascii="仿宋_GB2312" w:hAnsi="仿宋_GB2312" w:eastAsia="仿宋_GB2312" w:cs="仿宋_GB2312"/>
          <w:lang w:eastAsia="zh-CN"/>
        </w:rPr>
        <w:t>、</w:t>
      </w:r>
      <w:r>
        <w:rPr>
          <w:rFonts w:hint="eastAsia" w:ascii="仿宋_GB2312" w:hAnsi="仿宋_GB2312" w:eastAsia="仿宋_GB2312" w:cs="仿宋_GB2312"/>
        </w:rPr>
        <w:t>绩效目标</w:t>
      </w:r>
      <w:r>
        <w:rPr>
          <w:rFonts w:hint="eastAsia" w:ascii="仿宋_GB2312" w:hAnsi="仿宋_GB2312" w:eastAsia="仿宋_GB2312" w:cs="仿宋_GB2312"/>
          <w:lang w:eastAsia="zh-CN"/>
        </w:rPr>
        <w:t>、</w:t>
      </w:r>
      <w:r>
        <w:rPr>
          <w:rFonts w:hint="eastAsia" w:ascii="仿宋_GB2312" w:hAnsi="仿宋_GB2312" w:eastAsia="仿宋_GB2312" w:cs="仿宋_GB2312"/>
        </w:rPr>
        <w:t>资金投入</w:t>
      </w:r>
      <w:r>
        <w:rPr>
          <w:rFonts w:hint="eastAsia" w:ascii="仿宋_GB2312" w:hAnsi="仿宋_GB2312" w:eastAsia="仿宋_GB2312" w:cs="仿宋_GB2312"/>
          <w:lang w:val="en-US" w:eastAsia="zh-CN"/>
        </w:rPr>
        <w:t>3</w:t>
      </w:r>
      <w:r>
        <w:rPr>
          <w:rFonts w:hint="eastAsia" w:ascii="仿宋_GB2312" w:hAnsi="仿宋_GB2312" w:eastAsia="仿宋_GB2312" w:cs="仿宋_GB2312"/>
        </w:rPr>
        <w:t>方面。指标赋值</w:t>
      </w:r>
      <w:r>
        <w:rPr>
          <w:rFonts w:hint="eastAsia" w:ascii="仿宋_GB2312" w:hAnsi="仿宋_GB2312" w:eastAsia="仿宋_GB2312" w:cs="仿宋_GB2312"/>
          <w:lang w:val="en-US" w:eastAsia="zh-CN"/>
        </w:rPr>
        <w:t>10</w:t>
      </w:r>
      <w:r>
        <w:rPr>
          <w:rFonts w:hint="eastAsia" w:ascii="仿宋_GB2312" w:hAnsi="仿宋_GB2312" w:eastAsia="仿宋_GB2312" w:cs="仿宋_GB2312"/>
        </w:rPr>
        <w:t>分</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9</w:t>
      </w:r>
      <w:r>
        <w:rPr>
          <w:rFonts w:hint="eastAsia" w:ascii="仿宋_GB2312" w:hAnsi="仿宋_GB2312" w:eastAsia="仿宋_GB2312" w:cs="仿宋_GB2312"/>
          <w:b w:val="0"/>
          <w:bCs w:val="0"/>
          <w:color w:val="auto"/>
        </w:rPr>
        <w:t>分，得分率</w:t>
      </w:r>
      <w:r>
        <w:rPr>
          <w:rFonts w:hint="eastAsia" w:ascii="仿宋_GB2312" w:hAnsi="仿宋_GB2312" w:eastAsia="仿宋_GB2312" w:cs="仿宋_GB2312"/>
          <w:b w:val="0"/>
          <w:bCs w:val="0"/>
          <w:color w:val="auto"/>
          <w:lang w:val="en-US" w:eastAsia="zh-CN"/>
        </w:rPr>
        <w:t>90</w:t>
      </w:r>
      <w:r>
        <w:rPr>
          <w:rFonts w:hint="eastAsia" w:ascii="仿宋_GB2312" w:hAnsi="仿宋_GB2312" w:eastAsia="仿宋_GB2312" w:cs="仿宋_GB2312"/>
          <w:b w:val="0"/>
          <w:bCs w:val="0"/>
          <w:color w:val="auto"/>
        </w:rPr>
        <w:t>%。</w:t>
      </w:r>
    </w:p>
    <w:p w14:paraId="3A1268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szCs w:val="32"/>
          <w:lang w:val="en-US" w:eastAsia="zh-CN"/>
        </w:rPr>
        <w:t>项目立项</w:t>
      </w:r>
    </w:p>
    <w:p w14:paraId="19CD120E">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（1）立项依据充分性。</w:t>
      </w:r>
    </w:p>
    <w:p w14:paraId="496DF431">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统计业务工作经费依据</w:t>
      </w:r>
      <w:r>
        <w:rPr>
          <w:rFonts w:hint="eastAsia" w:ascii="仿宋_GB2312" w:hAnsi="仿宋_GB2312" w:eastAsia="仿宋_GB2312" w:cs="仿宋_GB2312"/>
          <w:lang w:eastAsia="zh-CN"/>
        </w:rPr>
        <w:t>《</w:t>
      </w:r>
      <w:r>
        <w:rPr>
          <w:rFonts w:hint="eastAsia" w:ascii="仿宋_GB2312" w:hAnsi="仿宋_GB2312" w:eastAsia="仿宋_GB2312" w:cs="仿宋_GB2312"/>
        </w:rPr>
        <w:t>安康市统计局关于请求解决统计信息化扩建工程专项资金的报告</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安市统字〔2009〕52号）、《陕西省人民政府办公厅关于进一步加强和完善我省服务业统计工作的通知》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陕政办发〔2012〕6号）、《安康市人民政府关于印发安康市节能减排统计监测及考核实施方案和办法的通知》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安政发〔2008〕17号）、《安康市人民政府办公室关于认真做好2012年投入产出调查工作的通知》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安政办发〔2008〕17号）等文件设立。</w:t>
      </w:r>
    </w:p>
    <w:p w14:paraId="2117AACE">
      <w:pPr>
        <w:bidi w:val="0"/>
        <w:rPr>
          <w:rFonts w:hint="eastAsia" w:ascii="仿宋_GB2312" w:hAnsi="仿宋_GB2312" w:eastAsia="仿宋_GB2312" w:cs="仿宋_GB2312"/>
          <w:lang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立项依据充分性，</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指标1分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3110A178">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立项程序合法性</w:t>
      </w:r>
    </w:p>
    <w:p w14:paraId="59046B5D">
      <w:pPr>
        <w:bidi w:val="0"/>
        <w:rPr>
          <w:rFonts w:hint="eastAsia" w:ascii="仿宋_GB2312" w:hAnsi="仿宋_GB2312" w:eastAsia="仿宋_GB2312" w:cs="仿宋_GB2312"/>
        </w:rPr>
      </w:pPr>
      <w:r>
        <w:rPr>
          <w:rFonts w:hint="eastAsia" w:ascii="仿宋_GB2312" w:hAnsi="仿宋_GB2312" w:eastAsia="仿宋_GB2312" w:cs="仿宋_GB2312"/>
        </w:rPr>
        <w:t>该项目按照规定的程序申请成立，审批文件和材料符合相关要求，事前</w:t>
      </w:r>
      <w:r>
        <w:rPr>
          <w:rFonts w:hint="eastAsia" w:ascii="仿宋_GB2312" w:hAnsi="仿宋_GB2312" w:eastAsia="仿宋_GB2312" w:cs="仿宋_GB2312"/>
          <w:lang w:eastAsia="zh-CN"/>
        </w:rPr>
        <w:t>经</w:t>
      </w:r>
      <w:r>
        <w:rPr>
          <w:rFonts w:hint="eastAsia" w:ascii="仿宋_GB2312" w:hAnsi="仿宋_GB2312" w:eastAsia="仿宋_GB2312" w:cs="仿宋_GB2312"/>
        </w:rPr>
        <w:t>过集体决策。</w:t>
      </w:r>
    </w:p>
    <w:p w14:paraId="66935C49">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综上，立项程序合法</w:t>
      </w:r>
      <w:r>
        <w:rPr>
          <w:rFonts w:hint="eastAsia" w:ascii="仿宋_GB2312" w:hAnsi="仿宋_GB2312" w:eastAsia="仿宋_GB2312" w:cs="仿宋_GB2312"/>
          <w:lang w:eastAsia="zh-CN"/>
        </w:rPr>
        <w:t>，</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指标1分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0EE10E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2.绩效目标</w:t>
      </w:r>
    </w:p>
    <w:p w14:paraId="0660CC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（1）绩效目标合理性</w:t>
      </w:r>
    </w:p>
    <w:p w14:paraId="3BC43E35">
      <w:pPr>
        <w:bidi w:val="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本项目2023年度绩效目标为：</w:t>
      </w:r>
      <w:r>
        <w:rPr>
          <w:rFonts w:hint="eastAsia" w:ascii="仿宋_GB2312" w:hAnsi="仿宋_GB2312" w:eastAsia="仿宋_GB2312" w:cs="仿宋_GB2312"/>
          <w:highlight w:val="none"/>
        </w:rPr>
        <w:t>按照省统计局要求开展2023年度各项统计专项调查工作，收集、整理和提供有关调查统计数据，对全市统计数据质量进行检查、评估和数据的公布。</w:t>
      </w:r>
      <w:r>
        <w:rPr>
          <w:rFonts w:hint="eastAsia" w:ascii="仿宋_GB2312" w:hAnsi="仿宋_GB2312" w:eastAsia="仿宋_GB2312" w:cs="仿宋_GB2312"/>
          <w:highlight w:val="none"/>
          <w:lang w:eastAsia="zh-CN"/>
        </w:rPr>
        <w:t>同时，</w:t>
      </w:r>
      <w:r>
        <w:rPr>
          <w:rFonts w:hint="eastAsia" w:ascii="仿宋_GB2312" w:hAnsi="仿宋_GB2312" w:eastAsia="仿宋_GB2312" w:cs="仿宋_GB2312"/>
          <w:highlight w:val="none"/>
        </w:rPr>
        <w:t>按照市委、市政府整体工作部署，充分发挥工作职能，紧盯重点领域、重点行业、重点问题关键环节，做到既出数据，也出思路、出措施，不断加大统计预警监测和分析研判力度，全力提升统计服务水平。切实当好领导决策的参谋助手，以优质的统计服务助力全市经济社会高质量发展。</w:t>
      </w:r>
    </w:p>
    <w:p w14:paraId="6C98B7CB">
      <w:pPr>
        <w:bidi w:val="0"/>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color w:val="auto"/>
          <w:highlight w:val="none"/>
          <w:lang w:val="en-US" w:eastAsia="zh-CN"/>
        </w:rPr>
        <w:t>综上，绩效目标合理，</w:t>
      </w:r>
      <w:r>
        <w:rPr>
          <w:rFonts w:hint="eastAsia" w:ascii="仿宋_GB2312" w:hAnsi="仿宋_GB2312" w:eastAsia="仿宋_GB2312" w:cs="仿宋_GB2312"/>
          <w:color w:val="auto"/>
          <w:highlight w:val="none"/>
        </w:rPr>
        <w:t>该指标</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分，得</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rPr>
        <w:t>分。</w:t>
      </w:r>
    </w:p>
    <w:p w14:paraId="3360FA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（2）绩效指标明确性</w:t>
      </w:r>
    </w:p>
    <w:p w14:paraId="4A338417">
      <w:pPr>
        <w:bidi w:val="0"/>
        <w:rPr>
          <w:rFonts w:hint="eastAsia" w:ascii="仿宋_GB2312" w:hAnsi="仿宋_GB2312" w:eastAsia="仿宋_GB2312" w:cs="仿宋_GB2312"/>
        </w:rPr>
      </w:pPr>
      <w:r>
        <w:rPr>
          <w:rFonts w:hint="eastAsia" w:ascii="仿宋_GB2312" w:hAnsi="仿宋_GB2312" w:eastAsia="仿宋_GB2312" w:cs="仿宋_GB2312"/>
        </w:rPr>
        <w:t>项目设定明确的绩效目标，且与实际工作内容有相关性，</w:t>
      </w:r>
      <w:r>
        <w:rPr>
          <w:rFonts w:hint="eastAsia" w:ascii="仿宋_GB2312" w:hAnsi="仿宋_GB2312" w:eastAsia="仿宋_GB2312" w:cs="仿宋_GB2312"/>
          <w:lang w:val="en-US" w:eastAsia="zh-CN"/>
        </w:rPr>
        <w:t>但是</w:t>
      </w:r>
      <w:r>
        <w:rPr>
          <w:rFonts w:hint="eastAsia" w:ascii="仿宋_GB2312" w:hAnsi="仿宋_GB2312" w:eastAsia="仿宋_GB2312" w:cs="仿宋_GB2312"/>
        </w:rPr>
        <w:t>产出指标、效益指标细化分解不足，</w:t>
      </w:r>
      <w:r>
        <w:rPr>
          <w:rFonts w:hint="eastAsia" w:ascii="仿宋_GB2312" w:hAnsi="仿宋_GB2312" w:eastAsia="仿宋_GB2312" w:cs="仿宋_GB2312"/>
          <w:lang w:val="en-US" w:eastAsia="zh-CN"/>
        </w:rPr>
        <w:t>未对具体</w:t>
      </w:r>
      <w:r>
        <w:rPr>
          <w:rFonts w:hint="eastAsia" w:ascii="仿宋_GB2312" w:hAnsi="仿宋_GB2312" w:eastAsia="仿宋_GB2312" w:cs="仿宋_GB2312"/>
        </w:rPr>
        <w:t>工作任务进行详细的指标分解。</w:t>
      </w:r>
    </w:p>
    <w:p w14:paraId="0082F365">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综上，绩效目标明确性不足，</w:t>
      </w:r>
      <w:r>
        <w:rPr>
          <w:rFonts w:hint="eastAsia" w:ascii="仿宋_GB2312" w:hAnsi="仿宋_GB2312" w:eastAsia="仿宋_GB2312" w:cs="仿宋_GB2312"/>
          <w:color w:val="auto"/>
        </w:rPr>
        <w:t>该指标</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p w14:paraId="59AA51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Cs w:val="32"/>
          <w:lang w:val="en-US" w:eastAsia="zh-CN"/>
        </w:rPr>
      </w:pPr>
      <w:r>
        <w:rPr>
          <w:rFonts w:hint="eastAsia" w:ascii="仿宋_GB2312" w:hAnsi="仿宋_GB2312" w:eastAsia="仿宋_GB2312" w:cs="仿宋_GB2312"/>
          <w:b/>
          <w:bCs/>
          <w:color w:val="auto"/>
          <w:szCs w:val="32"/>
          <w:lang w:val="en-US" w:eastAsia="zh-CN"/>
        </w:rPr>
        <w:t>3.资金投入</w:t>
      </w:r>
    </w:p>
    <w:p w14:paraId="4ACC19C4">
      <w:pPr>
        <w:pStyle w:val="8"/>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（1）预算编制科学性</w:t>
      </w:r>
    </w:p>
    <w:p w14:paraId="16B3AA68">
      <w:pPr>
        <w:bidi w:val="0"/>
        <w:rPr>
          <w:rFonts w:hint="eastAsia" w:ascii="仿宋_GB2312" w:hAnsi="仿宋_GB2312" w:eastAsia="仿宋_GB2312" w:cs="仿宋_GB2312"/>
        </w:rPr>
      </w:pPr>
      <w:r>
        <w:rPr>
          <w:rFonts w:hint="eastAsia" w:ascii="仿宋_GB2312" w:hAnsi="仿宋_GB2312" w:eastAsia="仿宋_GB2312" w:cs="仿宋_GB2312"/>
          <w:lang w:val="en-US" w:eastAsia="zh-CN"/>
        </w:rPr>
        <w:t>经费编制经科学测算，</w:t>
      </w:r>
      <w:r>
        <w:rPr>
          <w:rFonts w:hint="eastAsia" w:ascii="仿宋_GB2312" w:hAnsi="仿宋_GB2312" w:eastAsia="仿宋_GB2312" w:cs="仿宋_GB2312"/>
        </w:rPr>
        <w:t>预算内容与项目内容相匹配，测算依据充分，资金量与工作任务相匹配。</w:t>
      </w:r>
    </w:p>
    <w:p w14:paraId="1FE2DBEC">
      <w:pPr>
        <w:pStyle w:val="8"/>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综上，预算编制科学，该指标2分，得2分。</w:t>
      </w:r>
    </w:p>
    <w:p w14:paraId="6ACA002D">
      <w:pPr>
        <w:pStyle w:val="8"/>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（2）资金分配合理性</w:t>
      </w:r>
    </w:p>
    <w:p w14:paraId="12D7180B">
      <w:pPr>
        <w:bidi w:val="0"/>
        <w:rPr>
          <w:rFonts w:hint="eastAsia" w:ascii="仿宋_GB2312" w:hAnsi="仿宋_GB2312" w:eastAsia="仿宋_GB2312" w:cs="仿宋_GB2312"/>
        </w:rPr>
      </w:pPr>
      <w:bookmarkStart w:id="19" w:name="_Toc431529013"/>
      <w:r>
        <w:rPr>
          <w:rFonts w:hint="eastAsia" w:ascii="仿宋_GB2312" w:hAnsi="仿宋_GB2312" w:eastAsia="仿宋_GB2312" w:cs="仿宋_GB2312"/>
        </w:rPr>
        <w:t>预算资金分配严格按照实际情况支出，合规合理，与地 方实际相适应。</w:t>
      </w:r>
    </w:p>
    <w:p w14:paraId="65E634B2">
      <w:pPr>
        <w:bidi w:val="0"/>
        <w:rPr>
          <w:rFonts w:hint="eastAsia" w:ascii="仿宋_GB2312" w:hAnsi="仿宋_GB2312" w:eastAsia="仿宋_GB2312" w:cs="仿宋_GB2312"/>
          <w:lang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资金分配合理，</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指标1分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1</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42C76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eastAsia="zh-CN"/>
        </w:rPr>
      </w:pPr>
      <w:bookmarkStart w:id="20" w:name="_Toc4149"/>
      <w:r>
        <w:rPr>
          <w:rFonts w:hint="eastAsia" w:eastAsia="楷体" w:cs="Times New Roman"/>
          <w:b/>
          <w:bCs/>
          <w:sz w:val="32"/>
          <w:szCs w:val="32"/>
          <w:highlight w:val="none"/>
          <w:u w:val="none"/>
          <w:lang w:eastAsia="zh-CN"/>
        </w:rPr>
        <w:t>（二）项目过程情况</w:t>
      </w:r>
      <w:bookmarkEnd w:id="19"/>
      <w:bookmarkEnd w:id="20"/>
    </w:p>
    <w:p w14:paraId="01825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highlight w:val="none"/>
          <w:lang w:eastAsia="zh-CN"/>
        </w:rPr>
      </w:pPr>
      <w:r>
        <w:rPr>
          <w:rFonts w:hint="eastAsia" w:ascii="仿宋_GB2312" w:hAnsi="仿宋_GB2312" w:eastAsia="仿宋_GB2312" w:cs="仿宋_GB2312"/>
          <w:color w:val="auto"/>
          <w:kern w:val="0"/>
          <w:highlight w:val="none"/>
        </w:rPr>
        <w:t>主要评价</w:t>
      </w:r>
      <w:r>
        <w:rPr>
          <w:rFonts w:hint="eastAsia" w:ascii="仿宋_GB2312" w:hAnsi="仿宋_GB2312" w:eastAsia="仿宋_GB2312" w:cs="仿宋_GB2312"/>
          <w:b w:val="0"/>
          <w:bCs w:val="0"/>
          <w:color w:val="auto"/>
          <w:kern w:val="0"/>
          <w:sz w:val="32"/>
          <w:szCs w:val="32"/>
          <w:highlight w:val="none"/>
          <w:u w:val="none"/>
          <w:lang w:val="en-US" w:eastAsia="zh-CN"/>
        </w:rPr>
        <w:t>资金管理、组织实施2</w:t>
      </w:r>
      <w:r>
        <w:rPr>
          <w:rFonts w:hint="eastAsia" w:ascii="仿宋_GB2312" w:hAnsi="仿宋_GB2312" w:eastAsia="仿宋_GB2312" w:cs="仿宋_GB2312"/>
          <w:color w:val="auto"/>
          <w:kern w:val="0"/>
          <w:highlight w:val="none"/>
        </w:rPr>
        <w:t>方面。指标赋值</w:t>
      </w:r>
      <w:r>
        <w:rPr>
          <w:rFonts w:hint="eastAsia" w:ascii="仿宋_GB2312" w:hAnsi="仿宋_GB2312" w:eastAsia="仿宋_GB2312" w:cs="仿宋_GB2312"/>
          <w:color w:val="auto"/>
          <w:kern w:val="0"/>
          <w:highlight w:val="none"/>
          <w:lang w:val="en-US" w:eastAsia="zh-CN"/>
        </w:rPr>
        <w:t>27</w:t>
      </w:r>
      <w:r>
        <w:rPr>
          <w:rFonts w:hint="eastAsia" w:ascii="仿宋_GB2312" w:hAnsi="仿宋_GB2312" w:eastAsia="仿宋_GB2312" w:cs="仿宋_GB2312"/>
          <w:color w:val="auto"/>
          <w:kern w:val="0"/>
          <w:highlight w:val="none"/>
        </w:rPr>
        <w:t>分，得</w:t>
      </w:r>
      <w:r>
        <w:rPr>
          <w:rFonts w:hint="eastAsia" w:ascii="仿宋_GB2312" w:hAnsi="仿宋_GB2312" w:cs="仿宋_GB2312"/>
          <w:color w:val="auto"/>
          <w:kern w:val="0"/>
          <w:highlight w:val="none"/>
          <w:lang w:val="en-US" w:eastAsia="zh-CN"/>
        </w:rPr>
        <w:t>20</w:t>
      </w:r>
      <w:r>
        <w:rPr>
          <w:rFonts w:hint="eastAsia" w:ascii="仿宋_GB2312" w:hAnsi="仿宋_GB2312" w:eastAsia="仿宋_GB2312" w:cs="仿宋_GB2312"/>
          <w:color w:val="auto"/>
          <w:kern w:val="0"/>
          <w:highlight w:val="none"/>
          <w:lang w:val="en-US" w:eastAsia="zh-CN"/>
        </w:rPr>
        <w:t>.26</w:t>
      </w:r>
      <w:r>
        <w:rPr>
          <w:rFonts w:hint="eastAsia" w:ascii="仿宋_GB2312" w:hAnsi="仿宋_GB2312" w:eastAsia="仿宋_GB2312" w:cs="仿宋_GB2312"/>
          <w:color w:val="auto"/>
          <w:kern w:val="0"/>
          <w:highlight w:val="none"/>
        </w:rPr>
        <w:t>分，得分率</w:t>
      </w:r>
      <w:r>
        <w:rPr>
          <w:rFonts w:hint="eastAsia" w:ascii="仿宋_GB2312" w:hAnsi="仿宋_GB2312" w:eastAsia="仿宋_GB2312" w:cs="仿宋_GB2312"/>
          <w:color w:val="auto"/>
          <w:kern w:val="0"/>
          <w:highlight w:val="none"/>
          <w:lang w:val="en-US" w:eastAsia="zh-CN"/>
        </w:rPr>
        <w:t>71.33</w:t>
      </w:r>
      <w:r>
        <w:rPr>
          <w:rFonts w:hint="eastAsia" w:ascii="仿宋_GB2312" w:hAnsi="仿宋_GB2312" w:eastAsia="仿宋_GB2312" w:cs="仿宋_GB2312"/>
          <w:color w:val="auto"/>
          <w:kern w:val="0"/>
          <w:highlight w:val="none"/>
        </w:rPr>
        <w:t>%。</w:t>
      </w:r>
    </w:p>
    <w:p w14:paraId="1C5E7A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1.资金管理</w:t>
      </w:r>
    </w:p>
    <w:p w14:paraId="644A05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（1）预算执行率</w:t>
      </w:r>
    </w:p>
    <w:p w14:paraId="7D99086F">
      <w:pPr>
        <w:bidi w:val="0"/>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2023年度统计业务经费，实际到位率1600000.00元，截至2023年12月31日，实际支付资金922111.64元。</w:t>
      </w:r>
    </w:p>
    <w:p w14:paraId="15C00F97">
      <w:pPr>
        <w:bidi w:val="0"/>
        <w:rPr>
          <w:rFonts w:hint="eastAsia" w:ascii="仿宋_GB2312" w:hAnsi="仿宋_GB2312" w:eastAsia="仿宋_GB2312" w:cs="仿宋_GB2312"/>
          <w:color w:val="FF0000"/>
          <w:highlight w:val="none"/>
          <w:lang w:val="en-US" w:eastAsia="zh-CN"/>
        </w:rPr>
      </w:pPr>
      <w:r>
        <w:rPr>
          <w:rFonts w:hint="eastAsia" w:ascii="仿宋_GB2312" w:hAnsi="仿宋_GB2312" w:eastAsia="仿宋_GB2312" w:cs="仿宋_GB2312"/>
          <w:highlight w:val="none"/>
          <w:lang w:val="en-US" w:eastAsia="zh-CN"/>
        </w:rPr>
        <w:t>综上</w:t>
      </w:r>
      <w:r>
        <w:rPr>
          <w:rFonts w:hint="eastAsia" w:ascii="仿宋_GB2312" w:hAnsi="仿宋_GB2312" w:eastAsia="仿宋_GB2312" w:cs="仿宋_GB2312"/>
          <w:color w:val="auto"/>
          <w:highlight w:val="none"/>
          <w:lang w:val="en-US" w:eastAsia="zh-CN"/>
        </w:rPr>
        <w:t>，预算执行</w:t>
      </w:r>
      <w:r>
        <w:rPr>
          <w:rFonts w:hint="eastAsia" w:ascii="仿宋_GB2312" w:hAnsi="仿宋_GB2312" w:eastAsia="仿宋_GB2312" w:cs="仿宋_GB2312"/>
          <w:color w:val="auto"/>
          <w:highlight w:val="none"/>
        </w:rPr>
        <w:t>率</w:t>
      </w:r>
      <w:r>
        <w:rPr>
          <w:rFonts w:hint="eastAsia" w:ascii="仿宋_GB2312" w:hAnsi="仿宋_GB2312" w:eastAsia="仿宋_GB2312" w:cs="仿宋_GB2312"/>
          <w:color w:val="auto"/>
          <w:highlight w:val="none"/>
          <w:lang w:val="en-US" w:eastAsia="zh-CN"/>
        </w:rPr>
        <w:t>=922111.64/1600000.00×</w:t>
      </w:r>
      <w:r>
        <w:rPr>
          <w:rFonts w:hint="eastAsia" w:ascii="仿宋_GB2312" w:hAnsi="仿宋_GB2312" w:eastAsia="仿宋_GB2312" w:cs="仿宋_GB2312"/>
          <w:color w:val="auto"/>
          <w:highlight w:val="none"/>
        </w:rPr>
        <w:t>100%</w:t>
      </w:r>
      <w:r>
        <w:rPr>
          <w:rFonts w:hint="eastAsia" w:ascii="仿宋_GB2312" w:hAnsi="仿宋_GB2312" w:eastAsia="仿宋_GB2312" w:cs="仿宋_GB2312"/>
          <w:color w:val="auto"/>
          <w:highlight w:val="none"/>
          <w:lang w:val="en-US" w:eastAsia="zh-CN"/>
        </w:rPr>
        <w:t>=57.63%。</w:t>
      </w:r>
      <w:r>
        <w:rPr>
          <w:rFonts w:hint="eastAsia" w:ascii="仿宋_GB2312" w:hAnsi="仿宋_GB2312" w:eastAsia="仿宋_GB2312" w:cs="仿宋_GB2312"/>
          <w:color w:val="auto"/>
          <w:highlight w:val="none"/>
        </w:rPr>
        <w:t>该</w:t>
      </w:r>
      <w:r>
        <w:rPr>
          <w:rFonts w:hint="eastAsia" w:ascii="仿宋_GB2312" w:hAnsi="仿宋_GB2312" w:eastAsia="仿宋_GB2312" w:cs="仿宋_GB2312"/>
          <w:color w:val="auto"/>
          <w:highlight w:val="none"/>
          <w:lang w:val="en-US" w:eastAsia="zh-CN"/>
        </w:rPr>
        <w:t>指标10分</w:t>
      </w:r>
      <w:r>
        <w:rPr>
          <w:rFonts w:hint="eastAsia" w:ascii="仿宋_GB2312" w:hAnsi="仿宋_GB2312" w:eastAsia="仿宋_GB2312" w:cs="仿宋_GB2312"/>
          <w:color w:val="auto"/>
          <w:highlight w:val="none"/>
        </w:rPr>
        <w:t>，得</w:t>
      </w:r>
      <w:r>
        <w:rPr>
          <w:rFonts w:hint="eastAsia" w:ascii="仿宋_GB2312" w:hAnsi="仿宋_GB2312" w:eastAsia="仿宋_GB2312" w:cs="仿宋_GB2312"/>
          <w:color w:val="auto"/>
          <w:highlight w:val="none"/>
          <w:lang w:val="en-US" w:eastAsia="zh-CN"/>
        </w:rPr>
        <w:t>5.76</w:t>
      </w:r>
      <w:r>
        <w:rPr>
          <w:rFonts w:hint="eastAsia" w:ascii="仿宋_GB2312" w:hAnsi="仿宋_GB2312" w:eastAsia="仿宋_GB2312" w:cs="仿宋_GB2312"/>
          <w:color w:val="auto"/>
          <w:highlight w:val="none"/>
        </w:rPr>
        <w:t>分</w:t>
      </w:r>
      <w:r>
        <w:rPr>
          <w:rFonts w:hint="eastAsia" w:ascii="仿宋_GB2312" w:hAnsi="仿宋_GB2312" w:eastAsia="仿宋_GB2312" w:cs="仿宋_GB2312"/>
          <w:color w:val="auto"/>
          <w:highlight w:val="none"/>
          <w:lang w:eastAsia="zh-CN"/>
        </w:rPr>
        <w:t>。</w:t>
      </w:r>
    </w:p>
    <w:p w14:paraId="61239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（2）资金使用合规性</w:t>
      </w:r>
    </w:p>
    <w:p w14:paraId="6919C39A">
      <w:pPr>
        <w:bidi w:val="0"/>
        <w:rPr>
          <w:rFonts w:hint="eastAsia" w:ascii="仿宋_GB2312" w:hAnsi="仿宋_GB2312" w:eastAsia="仿宋_GB2312" w:cs="仿宋_GB2312"/>
        </w:rPr>
      </w:pPr>
      <w:r>
        <w:rPr>
          <w:rFonts w:hint="eastAsia" w:ascii="仿宋_GB2312" w:hAnsi="仿宋_GB2312" w:eastAsia="仿宋_GB2312" w:cs="仿宋_GB2312"/>
        </w:rPr>
        <w:t>通过对支付凭证的抽查，项目的资金使用符合国家财 经法规和财务管理制度以及专项资金财务管理办法，项目 资金的拨付具备完整的审核程序和手续，存在</w:t>
      </w:r>
      <w:r>
        <w:rPr>
          <w:rFonts w:hint="eastAsia" w:ascii="仿宋_GB2312" w:hAnsi="仿宋_GB2312" w:eastAsia="仿宋_GB2312" w:cs="仿宋_GB2312"/>
          <w:lang w:eastAsia="zh-CN"/>
        </w:rPr>
        <w:t>少部分支出超出资金使用范围的</w:t>
      </w:r>
      <w:r>
        <w:rPr>
          <w:rFonts w:hint="eastAsia" w:ascii="仿宋_GB2312" w:hAnsi="仿宋_GB2312" w:eastAsia="仿宋_GB2312" w:cs="仿宋_GB2312"/>
        </w:rPr>
        <w:t>情况。</w:t>
      </w:r>
    </w:p>
    <w:p w14:paraId="46B93048">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综上，</w:t>
      </w:r>
      <w:r>
        <w:rPr>
          <w:rFonts w:hint="eastAsia" w:ascii="仿宋_GB2312" w:hAnsi="仿宋_GB2312" w:eastAsia="仿宋_GB2312" w:cs="仿宋_GB2312"/>
          <w:color w:val="auto"/>
          <w:lang w:val="en-US" w:eastAsia="zh-CN"/>
        </w:rPr>
        <w:t>资金使用不完全合规，</w:t>
      </w:r>
      <w:r>
        <w:rPr>
          <w:rFonts w:hint="eastAsia" w:ascii="仿宋_GB2312" w:hAnsi="仿宋_GB2312" w:eastAsia="仿宋_GB2312" w:cs="仿宋_GB2312"/>
          <w:color w:val="auto"/>
        </w:rPr>
        <w:t>该</w:t>
      </w:r>
      <w:r>
        <w:rPr>
          <w:rFonts w:hint="eastAsia" w:ascii="仿宋_GB2312" w:hAnsi="仿宋_GB2312" w:eastAsia="仿宋_GB2312" w:cs="仿宋_GB2312"/>
          <w:color w:val="auto"/>
          <w:lang w:val="en-US" w:eastAsia="zh-CN"/>
        </w:rPr>
        <w:t>指标6分</w:t>
      </w:r>
      <w:r>
        <w:rPr>
          <w:rFonts w:hint="eastAsia" w:ascii="仿宋_GB2312" w:hAnsi="仿宋_GB2312" w:eastAsia="仿宋_GB2312" w:cs="仿宋_GB2312"/>
          <w:color w:val="auto"/>
        </w:rPr>
        <w:t>，得</w:t>
      </w:r>
      <w:r>
        <w:rPr>
          <w:rFonts w:hint="eastAsia" w:ascii="仿宋_GB2312" w:hAnsi="仿宋_GB2312" w:cs="仿宋_GB2312"/>
          <w:color w:val="auto"/>
          <w:lang w:val="en-US" w:eastAsia="zh-CN"/>
        </w:rPr>
        <w:t>5</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p>
    <w:p w14:paraId="1AF2F5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lang w:val="en-US" w:eastAsia="zh-CN"/>
        </w:rPr>
      </w:pPr>
      <w:r>
        <w:rPr>
          <w:rFonts w:hint="eastAsia" w:ascii="仿宋_GB2312" w:hAnsi="仿宋_GB2312" w:eastAsia="仿宋_GB2312" w:cs="仿宋_GB2312"/>
          <w:b/>
          <w:bCs/>
          <w:szCs w:val="32"/>
          <w:lang w:val="en-US" w:eastAsia="zh-CN"/>
        </w:rPr>
        <w:t>2.组织实施</w:t>
      </w:r>
    </w:p>
    <w:p w14:paraId="5B7C87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（1）管理制度健全性</w:t>
      </w:r>
    </w:p>
    <w:p w14:paraId="76AB6BE5">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lang w:val="en-US" w:eastAsia="zh-CN"/>
        </w:rPr>
        <w:t>安康市统计局制定有财务制度及内控制度，并编制有制度汇编，</w:t>
      </w:r>
      <w:r>
        <w:rPr>
          <w:rFonts w:hint="eastAsia" w:ascii="仿宋_GB2312" w:hAnsi="仿宋_GB2312" w:eastAsia="仿宋_GB2312" w:cs="仿宋_GB2312"/>
          <w:color w:val="auto"/>
          <w:lang w:val="en-US" w:eastAsia="zh-CN"/>
        </w:rPr>
        <w:t>但制度还需进一步完善。</w:t>
      </w:r>
    </w:p>
    <w:p w14:paraId="54E0966B">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综上，</w:t>
      </w:r>
      <w:r>
        <w:rPr>
          <w:rFonts w:hint="eastAsia" w:ascii="仿宋_GB2312" w:hAnsi="仿宋_GB2312" w:eastAsia="仿宋_GB2312" w:cs="仿宋_GB2312"/>
          <w:color w:val="auto"/>
          <w:lang w:val="en-US" w:eastAsia="zh-CN"/>
        </w:rPr>
        <w:t>管理制度需进一步部完善，</w:t>
      </w:r>
      <w:r>
        <w:rPr>
          <w:rFonts w:hint="eastAsia" w:ascii="仿宋_GB2312" w:hAnsi="仿宋_GB2312" w:eastAsia="仿宋_GB2312" w:cs="仿宋_GB2312"/>
          <w:color w:val="auto"/>
        </w:rPr>
        <w:t>该</w:t>
      </w:r>
      <w:r>
        <w:rPr>
          <w:rFonts w:hint="eastAsia" w:ascii="仿宋_GB2312" w:hAnsi="仿宋_GB2312" w:eastAsia="仿宋_GB2312" w:cs="仿宋_GB2312"/>
          <w:color w:val="auto"/>
          <w:lang w:val="en-US" w:eastAsia="zh-CN"/>
        </w:rPr>
        <w:t>指标5分</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4.5</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p>
    <w:p w14:paraId="707FCE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（2）制度执行有效性</w:t>
      </w:r>
    </w:p>
    <w:p w14:paraId="36653E23">
      <w:pPr>
        <w:bidi w:val="0"/>
        <w:rPr>
          <w:rFonts w:hint="eastAsia" w:ascii="仿宋_GB2312" w:hAnsi="仿宋_GB2312" w:eastAsia="仿宋_GB2312" w:cs="仿宋_GB2312"/>
          <w:color w:val="000000" w:themeColor="text1"/>
          <w14:textFill>
            <w14:solidFill>
              <w14:schemeClr w14:val="tx1"/>
            </w14:solidFill>
          </w14:textFill>
        </w:rPr>
      </w:pPr>
      <w:bookmarkStart w:id="21" w:name="_Toc655845572"/>
      <w:r>
        <w:rPr>
          <w:rFonts w:hint="eastAsia" w:ascii="仿宋_GB2312" w:hAnsi="仿宋_GB2312" w:eastAsia="仿宋_GB2312" w:cs="仿宋_GB2312"/>
        </w:rPr>
        <w:t>遵守相关法律法规和相关管理制度，202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年无调整及支出调整事项</w:t>
      </w:r>
      <w:r>
        <w:rPr>
          <w:rFonts w:hint="eastAsia" w:ascii="仿宋_GB2312" w:hAnsi="仿宋_GB2312" w:eastAsia="仿宋_GB2312" w:cs="仿宋_GB2312"/>
          <w:lang w:eastAsia="zh-CN"/>
        </w:rPr>
        <w:t>，</w:t>
      </w:r>
      <w:r>
        <w:rPr>
          <w:rFonts w:hint="eastAsia" w:ascii="仿宋_GB2312" w:hAnsi="仿宋_GB2312" w:eastAsia="仿宋_GB2312" w:cs="仿宋_GB2312"/>
        </w:rPr>
        <w:t>项目资料齐全并及时归档</w:t>
      </w:r>
      <w:r>
        <w:rPr>
          <w:rFonts w:hint="eastAsia" w:ascii="仿宋_GB2312" w:hAnsi="仿宋_GB2312" w:eastAsia="仿宋_GB2312" w:cs="仿宋_GB2312"/>
          <w:lang w:eastAsia="zh-CN"/>
        </w:rPr>
        <w:t>，存在</w:t>
      </w:r>
      <w:r>
        <w:rPr>
          <w:rFonts w:hint="eastAsia" w:ascii="仿宋_GB2312" w:hAnsi="仿宋_GB2312" w:eastAsia="仿宋_GB2312" w:cs="仿宋_GB2312"/>
          <w:color w:val="000000" w:themeColor="text1"/>
          <w:lang w:eastAsia="zh-CN"/>
          <w14:textFill>
            <w14:solidFill>
              <w14:schemeClr w14:val="tx1"/>
            </w14:solidFill>
          </w14:textFill>
        </w:rPr>
        <w:t>少数支出不符合专项资金管理要求</w:t>
      </w:r>
      <w:r>
        <w:rPr>
          <w:rFonts w:hint="eastAsia" w:ascii="仿宋_GB2312" w:hAnsi="仿宋_GB2312" w:eastAsia="仿宋_GB2312" w:cs="仿宋_GB2312"/>
          <w:color w:val="000000" w:themeColor="text1"/>
          <w14:textFill>
            <w14:solidFill>
              <w14:schemeClr w14:val="tx1"/>
            </w14:solidFill>
          </w14:textFill>
        </w:rPr>
        <w:t>。</w:t>
      </w:r>
    </w:p>
    <w:p w14:paraId="396E9A88">
      <w:pPr>
        <w:bidi w:val="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综上，</w:t>
      </w:r>
      <w:r>
        <w:rPr>
          <w:rFonts w:hint="eastAsia" w:ascii="仿宋_GB2312" w:hAnsi="仿宋_GB2312" w:eastAsia="仿宋_GB2312" w:cs="仿宋_GB2312"/>
          <w:color w:val="000000" w:themeColor="text1"/>
          <w:lang w:val="en-US" w:eastAsia="zh-CN"/>
          <w14:textFill>
            <w14:solidFill>
              <w14:schemeClr w14:val="tx1"/>
            </w14:solidFill>
          </w14:textFill>
        </w:rPr>
        <w:t>制度执行存在把关不严的现象，</w:t>
      </w:r>
      <w:r>
        <w:rPr>
          <w:rFonts w:hint="eastAsia" w:ascii="仿宋_GB2312" w:hAnsi="仿宋_GB2312" w:eastAsia="仿宋_GB2312" w:cs="仿宋_GB2312"/>
          <w:color w:val="000000" w:themeColor="text1"/>
          <w14:textFill>
            <w14:solidFill>
              <w14:schemeClr w14:val="tx1"/>
            </w14:solidFill>
          </w14:textFill>
        </w:rPr>
        <w:t>该</w:t>
      </w:r>
      <w:r>
        <w:rPr>
          <w:rFonts w:hint="eastAsia" w:ascii="仿宋_GB2312" w:hAnsi="仿宋_GB2312" w:eastAsia="仿宋_GB2312" w:cs="仿宋_GB2312"/>
          <w:color w:val="000000" w:themeColor="text1"/>
          <w:lang w:val="en-US" w:eastAsia="zh-CN"/>
          <w14:textFill>
            <w14:solidFill>
              <w14:schemeClr w14:val="tx1"/>
            </w14:solidFill>
          </w14:textFill>
        </w:rPr>
        <w:t>指标6分</w:t>
      </w:r>
      <w:r>
        <w:rPr>
          <w:rFonts w:hint="eastAsia" w:ascii="仿宋_GB2312" w:hAnsi="仿宋_GB2312" w:eastAsia="仿宋_GB2312" w:cs="仿宋_GB2312"/>
          <w:color w:val="000000" w:themeColor="text1"/>
          <w14:textFill>
            <w14:solidFill>
              <w14:schemeClr w14:val="tx1"/>
            </w14:solidFill>
          </w14:textFill>
        </w:rPr>
        <w:t>，得</w:t>
      </w:r>
      <w:r>
        <w:rPr>
          <w:rFonts w:hint="eastAsia" w:ascii="仿宋_GB2312" w:hAnsi="仿宋_GB2312" w:cs="仿宋_GB2312"/>
          <w:color w:val="000000" w:themeColor="text1"/>
          <w:lang w:val="en-US" w:eastAsia="zh-CN"/>
          <w14:textFill>
            <w14:solidFill>
              <w14:schemeClr w14:val="tx1"/>
            </w14:solidFill>
          </w14:textFill>
        </w:rPr>
        <w:t>5</w:t>
      </w:r>
      <w:r>
        <w:rPr>
          <w:rFonts w:hint="eastAsia" w:ascii="仿宋_GB2312" w:hAnsi="仿宋_GB2312" w:eastAsia="仿宋_GB2312" w:cs="仿宋_GB2312"/>
          <w:color w:val="000000" w:themeColor="text1"/>
          <w14:textFill>
            <w14:solidFill>
              <w14:schemeClr w14:val="tx1"/>
            </w14:solidFill>
          </w14:textFill>
        </w:rPr>
        <w:t>分</w:t>
      </w:r>
      <w:r>
        <w:rPr>
          <w:rFonts w:hint="eastAsia" w:ascii="仿宋_GB2312" w:hAnsi="仿宋_GB2312" w:eastAsia="仿宋_GB2312" w:cs="仿宋_GB2312"/>
          <w:color w:val="000000" w:themeColor="text1"/>
          <w:lang w:eastAsia="zh-CN"/>
          <w14:textFill>
            <w14:solidFill>
              <w14:schemeClr w14:val="tx1"/>
            </w14:solidFill>
          </w14:textFill>
        </w:rPr>
        <w:t>。</w:t>
      </w:r>
    </w:p>
    <w:p w14:paraId="766E9E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eastAsia="zh-CN"/>
        </w:rPr>
      </w:pPr>
      <w:bookmarkStart w:id="22" w:name="_Toc20545"/>
      <w:r>
        <w:rPr>
          <w:rFonts w:hint="eastAsia" w:eastAsia="楷体" w:cs="Times New Roman"/>
          <w:b/>
          <w:bCs/>
          <w:sz w:val="32"/>
          <w:szCs w:val="32"/>
          <w:highlight w:val="none"/>
          <w:u w:val="none"/>
          <w:lang w:eastAsia="zh-CN"/>
        </w:rPr>
        <w:t>（三）项目产出情况</w:t>
      </w:r>
      <w:bookmarkEnd w:id="21"/>
      <w:bookmarkEnd w:id="22"/>
    </w:p>
    <w:p w14:paraId="23FC0E02">
      <w:pPr>
        <w:bidi w:val="0"/>
        <w:rPr>
          <w:rFonts w:hint="eastAsia" w:ascii="仿宋_GB2312" w:hAnsi="仿宋_GB2312" w:eastAsia="仿宋_GB2312" w:cs="仿宋_GB2312"/>
          <w:color w:val="auto"/>
        </w:rPr>
      </w:pPr>
      <w:r>
        <w:rPr>
          <w:rFonts w:hint="eastAsia" w:ascii="仿宋_GB2312" w:hAnsi="仿宋_GB2312" w:eastAsia="仿宋_GB2312" w:cs="仿宋_GB2312"/>
        </w:rPr>
        <w:t>主要评价</w:t>
      </w:r>
      <w:r>
        <w:rPr>
          <w:rFonts w:hint="eastAsia" w:ascii="仿宋_GB2312" w:hAnsi="仿宋_GB2312" w:eastAsia="仿宋_GB2312" w:cs="仿宋_GB2312"/>
          <w:lang w:val="en-US" w:eastAsia="zh-CN"/>
        </w:rPr>
        <w:t>项目产出</w:t>
      </w:r>
      <w:r>
        <w:rPr>
          <w:rFonts w:hint="eastAsia" w:ascii="仿宋_GB2312" w:hAnsi="仿宋_GB2312" w:eastAsia="仿宋_GB2312" w:cs="仿宋_GB2312"/>
        </w:rPr>
        <w:t>方面。</w:t>
      </w:r>
      <w:r>
        <w:rPr>
          <w:rFonts w:hint="eastAsia" w:ascii="仿宋_GB2312" w:hAnsi="仿宋_GB2312" w:eastAsia="仿宋_GB2312" w:cs="仿宋_GB2312"/>
          <w:color w:val="auto"/>
        </w:rPr>
        <w:t>指标赋值</w:t>
      </w:r>
      <w:r>
        <w:rPr>
          <w:rFonts w:hint="eastAsia" w:ascii="仿宋_GB2312" w:hAnsi="仿宋_GB2312" w:eastAsia="仿宋_GB2312" w:cs="仿宋_GB2312"/>
          <w:color w:val="auto"/>
          <w:lang w:val="en-US" w:eastAsia="zh-CN"/>
        </w:rPr>
        <w:t>38.00</w:t>
      </w:r>
      <w:r>
        <w:rPr>
          <w:rFonts w:hint="eastAsia" w:ascii="仿宋_GB2312" w:hAnsi="仿宋_GB2312" w:eastAsia="仿宋_GB2312" w:cs="仿宋_GB2312"/>
          <w:color w:val="auto"/>
        </w:rPr>
        <w:t>分，得</w:t>
      </w:r>
      <w:r>
        <w:rPr>
          <w:rFonts w:hint="eastAsia" w:ascii="仿宋_GB2312" w:hAnsi="仿宋_GB2312" w:eastAsia="仿宋_GB2312" w:cs="仿宋_GB2312"/>
          <w:color w:val="auto"/>
          <w:lang w:val="en-US" w:eastAsia="zh-CN"/>
        </w:rPr>
        <w:t>37.45</w:t>
      </w:r>
      <w:r>
        <w:rPr>
          <w:rFonts w:hint="eastAsia" w:ascii="仿宋_GB2312" w:hAnsi="仿宋_GB2312" w:eastAsia="仿宋_GB2312" w:cs="仿宋_GB2312"/>
          <w:color w:val="auto"/>
        </w:rPr>
        <w:t>分，得分率</w:t>
      </w:r>
      <w:r>
        <w:rPr>
          <w:rFonts w:hint="eastAsia" w:ascii="仿宋_GB2312" w:hAnsi="仿宋_GB2312" w:eastAsia="仿宋_GB2312" w:cs="仿宋_GB2312"/>
          <w:color w:val="auto"/>
          <w:lang w:val="en-US" w:eastAsia="zh-CN"/>
        </w:rPr>
        <w:t>98.55</w:t>
      </w:r>
      <w:r>
        <w:rPr>
          <w:rFonts w:hint="eastAsia" w:ascii="仿宋_GB2312" w:hAnsi="仿宋_GB2312" w:eastAsia="仿宋_GB2312" w:cs="仿宋_GB2312"/>
          <w:color w:val="auto"/>
        </w:rPr>
        <w:t>%。</w:t>
      </w:r>
    </w:p>
    <w:p w14:paraId="6E79FC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lang w:val="en-US" w:eastAsia="zh-CN"/>
        </w:rPr>
      </w:pPr>
      <w:r>
        <w:rPr>
          <w:rFonts w:hint="eastAsia" w:ascii="仿宋_GB2312" w:hAnsi="仿宋_GB2312" w:eastAsia="仿宋_GB2312" w:cs="仿宋_GB2312"/>
          <w:b/>
          <w:bCs/>
          <w:szCs w:val="32"/>
          <w:lang w:val="en-US" w:eastAsia="zh-CN"/>
        </w:rPr>
        <w:t>1.实际完成率</w:t>
      </w:r>
    </w:p>
    <w:p w14:paraId="4E5DE37B">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（1）统计数据、分析发布完成率</w:t>
      </w:r>
    </w:p>
    <w:p w14:paraId="31E5A3AC">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2023年度，通过统计局官方网站共计发布各类统计信息280余篇，实现及时、全面公布统计数据。</w:t>
      </w:r>
    </w:p>
    <w:p w14:paraId="301D3A72">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统计数据、分析发布完成率=280/280×100%=100%，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指标3分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6626328A">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（2）专题统计汇报完成率</w:t>
      </w:r>
    </w:p>
    <w:p w14:paraId="22979CB1">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统计局每季度为全市经济形势分析会、市委常委会、市政府常务会分别提供专题统计分析4次，共计16次。</w:t>
      </w:r>
    </w:p>
    <w:p w14:paraId="5480E0C7">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专题统计分析报告完成率=16/16×100%=100%，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指标3分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21145C24">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（3）企业“一套表”系统正常运转天数</w:t>
      </w:r>
    </w:p>
    <w:p w14:paraId="6D0DBF8C">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2023年度，企业“一套表”系统正常运营天数为365天，计划运转≥250天。</w:t>
      </w:r>
    </w:p>
    <w:p w14:paraId="75C632F6">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企业“一套表”系统正常运转天数完成率为100%，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指标3分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02F1BC45">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（4）社情民意调查项目完成率</w:t>
      </w:r>
    </w:p>
    <w:p w14:paraId="0BA1B123">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2023年全年完成调查项目11项，计划完成调查项目7项，超出计划调查项目4项。</w:t>
      </w:r>
    </w:p>
    <w:p w14:paraId="79ED303C">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社情民意调查项目完成率=11/7×100%=157%，</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指标3分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44DC8EE6">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lang w:val="en-US" w:eastAsia="zh-CN"/>
        </w:rPr>
      </w:pPr>
      <w:r>
        <w:rPr>
          <w:rFonts w:hint="eastAsia" w:ascii="仿宋_GB2312" w:hAnsi="仿宋_GB2312" w:eastAsia="仿宋_GB2312" w:cs="仿宋_GB2312"/>
          <w:b/>
          <w:bCs w:val="0"/>
          <w:szCs w:val="32"/>
          <w:lang w:val="en-US" w:eastAsia="zh-CN"/>
        </w:rPr>
        <w:t>2.</w:t>
      </w:r>
      <w:r>
        <w:rPr>
          <w:rFonts w:hint="eastAsia" w:ascii="仿宋_GB2312" w:hAnsi="仿宋_GB2312" w:eastAsia="仿宋_GB2312" w:cs="仿宋_GB2312"/>
          <w:b/>
          <w:bCs/>
          <w:szCs w:val="32"/>
          <w:lang w:val="en-US" w:eastAsia="zh-CN"/>
        </w:rPr>
        <w:t>质量达标率</w:t>
      </w:r>
    </w:p>
    <w:p w14:paraId="1C9E0AF1">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（1）统计数据、分析发布质量达标率。</w:t>
      </w:r>
    </w:p>
    <w:p w14:paraId="7BAA0DCD">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2023年度，通过统计局官方网站共计发布各类统计信息280余篇，全部符合发布要求。</w:t>
      </w:r>
    </w:p>
    <w:p w14:paraId="7718CD66">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统计数据、分析发布质量达标率为100%，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指标3分</w:t>
      </w:r>
      <w:r>
        <w:rPr>
          <w:rFonts w:hint="eastAsia" w:ascii="仿宋_GB2312" w:hAnsi="仿宋_GB2312" w:eastAsia="仿宋_GB2312" w:cs="仿宋_GB2312"/>
        </w:rPr>
        <w:t>，</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p>
    <w:p w14:paraId="7502393F">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（2）专题统计汇报质量达标率。</w:t>
      </w:r>
    </w:p>
    <w:p w14:paraId="26B5B36E">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每季度为全市经济形势分析会、市委常委会、市政府常务会所提供专题统计分析报告符合质量要求。</w:t>
      </w:r>
    </w:p>
    <w:p w14:paraId="066C3920">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专题统计汇报质量达标率为100%，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指标3分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38AD12AB">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（3）企业“一套表”系统故障率</w:t>
      </w:r>
    </w:p>
    <w:p w14:paraId="17D75EC9">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2023年度，企业“一套表”系统全年正常运营。</w:t>
      </w:r>
    </w:p>
    <w:p w14:paraId="7F041E29">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企业“一套表”系统故障率为0%，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指标3分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3</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7EDE5090">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（4）社情民意调查完成质量达标率</w:t>
      </w:r>
    </w:p>
    <w:p w14:paraId="6474BDCF">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2023年全年完成调查项目11项，形成调查分析报告达到质量要求。</w:t>
      </w:r>
    </w:p>
    <w:p w14:paraId="3A61E21E">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综上，</w:t>
      </w:r>
      <w:r>
        <w:rPr>
          <w:rFonts w:hint="eastAsia" w:ascii="仿宋_GB2312" w:hAnsi="仿宋_GB2312" w:eastAsia="仿宋_GB2312" w:cs="仿宋_GB2312"/>
          <w:color w:val="auto"/>
          <w:lang w:val="en-US" w:eastAsia="zh-CN"/>
        </w:rPr>
        <w:t>社情民意调查完成质量达标率为92%，</w:t>
      </w:r>
      <w:r>
        <w:rPr>
          <w:rFonts w:hint="eastAsia" w:ascii="仿宋_GB2312" w:hAnsi="仿宋_GB2312" w:eastAsia="仿宋_GB2312" w:cs="仿宋_GB2312"/>
          <w:color w:val="auto"/>
        </w:rPr>
        <w:t>该</w:t>
      </w:r>
      <w:r>
        <w:rPr>
          <w:rFonts w:hint="eastAsia" w:ascii="仿宋_GB2312" w:hAnsi="仿宋_GB2312" w:eastAsia="仿宋_GB2312" w:cs="仿宋_GB2312"/>
          <w:color w:val="auto"/>
          <w:lang w:val="en-US" w:eastAsia="zh-CN"/>
        </w:rPr>
        <w:t>指标3分</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2.7</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p>
    <w:p w14:paraId="2E8C6255">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lang w:val="en-US" w:eastAsia="zh-CN"/>
        </w:rPr>
      </w:pPr>
      <w:r>
        <w:rPr>
          <w:rFonts w:hint="eastAsia" w:ascii="仿宋_GB2312" w:hAnsi="仿宋_GB2312" w:eastAsia="仿宋_GB2312" w:cs="仿宋_GB2312"/>
          <w:b/>
          <w:bCs w:val="0"/>
          <w:szCs w:val="32"/>
          <w:lang w:val="en-US" w:eastAsia="zh-CN"/>
        </w:rPr>
        <w:t>3.</w:t>
      </w:r>
      <w:r>
        <w:rPr>
          <w:rFonts w:hint="eastAsia" w:ascii="仿宋_GB2312" w:hAnsi="仿宋_GB2312" w:eastAsia="仿宋_GB2312" w:cs="仿宋_GB2312"/>
          <w:b/>
          <w:bCs/>
          <w:szCs w:val="32"/>
          <w:lang w:val="en-US" w:eastAsia="zh-CN"/>
        </w:rPr>
        <w:t>完成及时性</w:t>
      </w:r>
    </w:p>
    <w:p w14:paraId="4B138A8B">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（1）统计数据、分析发布及时率</w:t>
      </w:r>
    </w:p>
    <w:p w14:paraId="61C5C98B">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统计数据及分析按月按季度及时发布。</w:t>
      </w:r>
      <w:r>
        <w:rPr>
          <w:rFonts w:hint="eastAsia" w:ascii="仿宋_GB2312" w:hAnsi="仿宋_GB2312" w:eastAsia="仿宋_GB2312" w:cs="仿宋_GB2312"/>
        </w:rPr>
        <w:t>综上，</w:t>
      </w:r>
      <w:r>
        <w:rPr>
          <w:rFonts w:hint="eastAsia" w:ascii="仿宋_GB2312" w:hAnsi="仿宋_GB2312" w:eastAsia="仿宋_GB2312" w:cs="仿宋_GB2312"/>
          <w:lang w:val="en-US" w:eastAsia="zh-CN"/>
        </w:rPr>
        <w:t>统计数据、分析发布完成率为100%，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指标2分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6EF15D77">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（2）专题统计汇报提交及时率</w:t>
      </w:r>
    </w:p>
    <w:p w14:paraId="344EF55F">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每季度按时为全市经济形势分析会、市委常委会、市政府常务会分别提供专题统计分析报告。</w:t>
      </w:r>
      <w:r>
        <w:rPr>
          <w:rFonts w:hint="eastAsia" w:ascii="仿宋_GB2312" w:hAnsi="仿宋_GB2312" w:eastAsia="仿宋_GB2312" w:cs="仿宋_GB2312"/>
        </w:rPr>
        <w:t>综上，</w:t>
      </w:r>
      <w:r>
        <w:rPr>
          <w:rFonts w:hint="eastAsia" w:ascii="仿宋_GB2312" w:hAnsi="仿宋_GB2312" w:eastAsia="仿宋_GB2312" w:cs="仿宋_GB2312"/>
          <w:lang w:val="en-US" w:eastAsia="zh-CN"/>
        </w:rPr>
        <w:t>专题统计汇报及时率为100%，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指标2分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2D0D4BB9">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（3）企业“一套表”维护响应及时率</w:t>
      </w:r>
    </w:p>
    <w:p w14:paraId="6A489AE3">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2023年度，企业“一套表”系统维护响应及时。</w:t>
      </w:r>
      <w:r>
        <w:rPr>
          <w:rFonts w:hint="eastAsia" w:ascii="仿宋_GB2312" w:hAnsi="仿宋_GB2312" w:eastAsia="仿宋_GB2312" w:cs="仿宋_GB2312"/>
        </w:rPr>
        <w:t>综上，</w:t>
      </w:r>
      <w:r>
        <w:rPr>
          <w:rFonts w:hint="eastAsia" w:ascii="仿宋_GB2312" w:hAnsi="仿宋_GB2312" w:eastAsia="仿宋_GB2312" w:cs="仿宋_GB2312"/>
          <w:lang w:val="en-US" w:eastAsia="zh-CN"/>
        </w:rPr>
        <w:t>企业“一套表”维护响应及时率为100%，</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指标2分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2</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479B5956">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（4）社情民意调查完成及时率</w:t>
      </w:r>
    </w:p>
    <w:p w14:paraId="6AFD63FD">
      <w:pPr>
        <w:bidi w:val="0"/>
        <w:rPr>
          <w:rFonts w:hint="eastAsia" w:ascii="仿宋_GB2312" w:hAnsi="仿宋_GB2312" w:eastAsia="仿宋_GB2312" w:cs="仿宋_GB2312"/>
          <w:color w:val="auto"/>
          <w:lang w:val="en-US" w:eastAsia="zh-CN"/>
        </w:rPr>
      </w:pPr>
      <w:r>
        <w:rPr>
          <w:rFonts w:hint="eastAsia" w:ascii="仿宋_GB2312" w:hAnsi="仿宋_GB2312" w:eastAsia="仿宋_GB2312" w:cs="仿宋_GB2312"/>
          <w:lang w:val="en-US" w:eastAsia="zh-CN"/>
        </w:rPr>
        <w:t>2023年全年完成调查项目11项，</w:t>
      </w:r>
      <w:r>
        <w:rPr>
          <w:rFonts w:hint="eastAsia" w:ascii="仿宋_GB2312" w:hAnsi="仿宋_GB2312" w:eastAsia="仿宋_GB2312" w:cs="仿宋_GB2312"/>
        </w:rPr>
        <w:t>综上，</w:t>
      </w:r>
      <w:r>
        <w:rPr>
          <w:rFonts w:hint="eastAsia" w:ascii="仿宋_GB2312" w:hAnsi="仿宋_GB2312" w:eastAsia="仿宋_GB2312" w:cs="仿宋_GB2312"/>
          <w:lang w:val="en-US" w:eastAsia="zh-CN"/>
        </w:rPr>
        <w:t>社情民意调查</w:t>
      </w:r>
      <w:r>
        <w:rPr>
          <w:rFonts w:hint="eastAsia" w:ascii="仿宋_GB2312" w:hAnsi="仿宋_GB2312" w:eastAsia="仿宋_GB2312" w:cs="仿宋_GB2312"/>
          <w:color w:val="auto"/>
          <w:lang w:val="en-US" w:eastAsia="zh-CN"/>
        </w:rPr>
        <w:t>完成及时率为97.5%，</w:t>
      </w:r>
      <w:r>
        <w:rPr>
          <w:rFonts w:hint="eastAsia" w:ascii="仿宋_GB2312" w:hAnsi="仿宋_GB2312" w:eastAsia="仿宋_GB2312" w:cs="仿宋_GB2312"/>
          <w:color w:val="auto"/>
        </w:rPr>
        <w:t>该</w:t>
      </w:r>
      <w:r>
        <w:rPr>
          <w:rFonts w:hint="eastAsia" w:ascii="仿宋_GB2312" w:hAnsi="仿宋_GB2312" w:eastAsia="仿宋_GB2312" w:cs="仿宋_GB2312"/>
          <w:color w:val="auto"/>
          <w:lang w:val="en-US" w:eastAsia="zh-CN"/>
        </w:rPr>
        <w:t>指标2分</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1.75</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p>
    <w:p w14:paraId="083115D1">
      <w:pPr>
        <w:keepNext w:val="0"/>
        <w:keepLines w:val="0"/>
        <w:pageBreakBefore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Cs w:val="32"/>
          <w:lang w:val="en-US" w:eastAsia="zh-CN"/>
        </w:rPr>
      </w:pPr>
      <w:r>
        <w:rPr>
          <w:rFonts w:hint="eastAsia" w:ascii="仿宋_GB2312" w:hAnsi="仿宋_GB2312" w:eastAsia="仿宋_GB2312" w:cs="仿宋_GB2312"/>
          <w:b/>
          <w:bCs w:val="0"/>
          <w:szCs w:val="32"/>
          <w:lang w:val="en-US" w:eastAsia="zh-CN"/>
        </w:rPr>
        <w:t>4.</w:t>
      </w:r>
      <w:r>
        <w:rPr>
          <w:rFonts w:hint="eastAsia" w:ascii="仿宋_GB2312" w:hAnsi="仿宋_GB2312" w:eastAsia="仿宋_GB2312" w:cs="仿宋_GB2312"/>
          <w:b/>
          <w:bCs/>
          <w:szCs w:val="32"/>
          <w:lang w:val="en-US" w:eastAsia="zh-CN"/>
        </w:rPr>
        <w:t>成本节约率</w:t>
      </w:r>
    </w:p>
    <w:p w14:paraId="2E65971D">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2023年度统计业务经费，实际到位率1600000.00元，截至2023年12月31日，实际支付资金</w:t>
      </w:r>
      <w:r>
        <w:rPr>
          <w:rFonts w:hint="eastAsia" w:ascii="仿宋_GB2312" w:hAnsi="仿宋_GB2312" w:eastAsia="仿宋_GB2312" w:cs="仿宋_GB2312"/>
          <w:highlight w:val="none"/>
          <w:lang w:val="en-US" w:eastAsia="zh-CN"/>
        </w:rPr>
        <w:t>922111.64</w:t>
      </w:r>
      <w:r>
        <w:rPr>
          <w:rFonts w:hint="eastAsia" w:ascii="仿宋_GB2312" w:hAnsi="仿宋_GB2312" w:eastAsia="仿宋_GB2312" w:cs="仿宋_GB2312"/>
          <w:lang w:val="en-US" w:eastAsia="zh-CN"/>
        </w:rPr>
        <w:t>元。</w:t>
      </w:r>
    </w:p>
    <w:p w14:paraId="18A894A8">
      <w:pPr>
        <w:bidi w:val="0"/>
        <w:rPr>
          <w:rFonts w:hint="eastAsia" w:ascii="仿宋_GB2312" w:hAnsi="仿宋_GB2312" w:eastAsia="仿宋_GB2312" w:cs="仿宋_GB2312"/>
          <w:lang w:val="en-US" w:eastAsia="zh-CN"/>
        </w:rPr>
      </w:pPr>
      <w:r>
        <w:rPr>
          <w:rFonts w:hint="eastAsia" w:ascii="仿宋_GB2312" w:hAnsi="仿宋_GB2312" w:eastAsia="仿宋_GB2312" w:cs="仿宋_GB2312"/>
        </w:rPr>
        <w:t>综上，</w:t>
      </w:r>
      <w:r>
        <w:rPr>
          <w:rFonts w:hint="eastAsia" w:ascii="仿宋_GB2312" w:hAnsi="仿宋_GB2312" w:eastAsia="仿宋_GB2312" w:cs="仿宋_GB2312"/>
          <w:lang w:val="en-US" w:eastAsia="zh-CN"/>
        </w:rPr>
        <w:t>成本节约率=</w:t>
      </w:r>
      <w:r>
        <w:rPr>
          <w:rFonts w:hint="eastAsia" w:ascii="仿宋_GB2312" w:hAnsi="仿宋_GB2312" w:eastAsia="仿宋_GB2312" w:cs="仿宋_GB2312"/>
          <w:color w:val="auto"/>
          <w:lang w:val="en-US" w:eastAsia="zh-CN"/>
        </w:rPr>
        <w:t>（1600000.00-</w:t>
      </w:r>
      <w:r>
        <w:rPr>
          <w:rFonts w:hint="eastAsia" w:ascii="仿宋_GB2312" w:hAnsi="仿宋_GB2312" w:eastAsia="仿宋_GB2312" w:cs="仿宋_GB2312"/>
          <w:color w:val="auto"/>
          <w:highlight w:val="none"/>
          <w:lang w:val="en-US" w:eastAsia="zh-CN"/>
        </w:rPr>
        <w:t>922111.64</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lang w:val="en-US" w:eastAsia="zh-CN"/>
        </w:rPr>
        <w:t>/1600000.00=42.37%。</w:t>
      </w:r>
      <w:r>
        <w:rPr>
          <w:rFonts w:hint="eastAsia" w:ascii="仿宋_GB2312" w:hAnsi="仿宋_GB2312" w:eastAsia="仿宋_GB2312" w:cs="仿宋_GB2312"/>
        </w:rPr>
        <w:t>该</w:t>
      </w:r>
      <w:r>
        <w:rPr>
          <w:rFonts w:hint="eastAsia" w:ascii="仿宋_GB2312" w:hAnsi="仿宋_GB2312" w:eastAsia="仿宋_GB2312" w:cs="仿宋_GB2312"/>
          <w:lang w:val="en-US" w:eastAsia="zh-CN"/>
        </w:rPr>
        <w:t>指标6分</w:t>
      </w:r>
      <w:r>
        <w:rPr>
          <w:rFonts w:hint="eastAsia" w:ascii="仿宋_GB2312" w:hAnsi="仿宋_GB2312" w:eastAsia="仿宋_GB2312" w:cs="仿宋_GB2312"/>
        </w:rPr>
        <w:t>，得</w:t>
      </w:r>
      <w:r>
        <w:rPr>
          <w:rFonts w:hint="eastAsia" w:ascii="仿宋_GB2312" w:hAnsi="仿宋_GB2312" w:eastAsia="仿宋_GB2312" w:cs="仿宋_GB2312"/>
          <w:lang w:val="en-US" w:eastAsia="zh-CN"/>
        </w:rPr>
        <w:t>6</w:t>
      </w:r>
      <w:r>
        <w:rPr>
          <w:rFonts w:hint="eastAsia" w:ascii="仿宋_GB2312" w:hAnsi="仿宋_GB2312" w:eastAsia="仿宋_GB2312" w:cs="仿宋_GB2312"/>
        </w:rPr>
        <w:t>分</w:t>
      </w:r>
      <w:r>
        <w:rPr>
          <w:rFonts w:hint="eastAsia" w:ascii="仿宋_GB2312" w:hAnsi="仿宋_GB2312" w:eastAsia="仿宋_GB2312" w:cs="仿宋_GB2312"/>
          <w:lang w:eastAsia="zh-CN"/>
        </w:rPr>
        <w:t>。</w:t>
      </w:r>
    </w:p>
    <w:p w14:paraId="1025A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val="en-US" w:eastAsia="zh-CN"/>
        </w:rPr>
      </w:pPr>
      <w:bookmarkStart w:id="23" w:name="_Toc32495"/>
      <w:r>
        <w:rPr>
          <w:rFonts w:hint="eastAsia" w:eastAsia="楷体" w:cs="Times New Roman"/>
          <w:b/>
          <w:bCs/>
          <w:sz w:val="32"/>
          <w:szCs w:val="32"/>
          <w:highlight w:val="none"/>
          <w:u w:val="none"/>
          <w:lang w:val="en-US" w:eastAsia="zh-CN"/>
        </w:rPr>
        <w:t>（四）项目效益情况</w:t>
      </w:r>
      <w:bookmarkEnd w:id="23"/>
    </w:p>
    <w:p w14:paraId="5465D807">
      <w:pPr>
        <w:bidi w:val="0"/>
        <w:rPr>
          <w:rFonts w:hint="eastAsia" w:ascii="仿宋_GB2312" w:hAnsi="仿宋_GB2312" w:eastAsia="仿宋_GB2312" w:cs="仿宋_GB2312"/>
          <w:b/>
          <w:bCs/>
          <w:color w:val="FF0000"/>
          <w:kern w:val="0"/>
          <w:sz w:val="32"/>
          <w:szCs w:val="32"/>
          <w:highlight w:val="none"/>
          <w:u w:val="none"/>
          <w:lang w:val="en-US" w:eastAsia="zh-CN" w:bidi="ar-SA"/>
        </w:rPr>
      </w:pPr>
      <w:r>
        <w:rPr>
          <w:rFonts w:hint="eastAsia" w:ascii="仿宋_GB2312" w:hAnsi="仿宋_GB2312" w:eastAsia="仿宋_GB2312" w:cs="仿宋_GB2312"/>
        </w:rPr>
        <w:t>主要评价</w:t>
      </w:r>
      <w:r>
        <w:rPr>
          <w:rFonts w:hint="eastAsia" w:ascii="仿宋_GB2312" w:hAnsi="仿宋_GB2312" w:eastAsia="仿宋_GB2312" w:cs="仿宋_GB2312"/>
          <w:lang w:val="en-US" w:eastAsia="zh-CN"/>
        </w:rPr>
        <w:t>项目效益</w:t>
      </w:r>
      <w:r>
        <w:rPr>
          <w:rFonts w:hint="eastAsia" w:ascii="仿宋_GB2312" w:hAnsi="仿宋_GB2312" w:eastAsia="仿宋_GB2312" w:cs="仿宋_GB2312"/>
        </w:rPr>
        <w:t>方面。指标赋值</w:t>
      </w:r>
      <w:r>
        <w:rPr>
          <w:rFonts w:hint="eastAsia" w:ascii="仿宋_GB2312" w:hAnsi="仿宋_GB2312" w:eastAsia="仿宋_GB2312" w:cs="仿宋_GB2312"/>
          <w:lang w:val="en-US" w:eastAsia="zh-CN"/>
        </w:rPr>
        <w:t>25</w:t>
      </w:r>
      <w:r>
        <w:rPr>
          <w:rFonts w:hint="eastAsia" w:ascii="仿宋_GB2312" w:hAnsi="仿宋_GB2312" w:eastAsia="仿宋_GB2312" w:cs="仿宋_GB2312"/>
        </w:rPr>
        <w:t>分，得</w:t>
      </w:r>
      <w:r>
        <w:rPr>
          <w:rFonts w:hint="eastAsia" w:ascii="仿宋_GB2312" w:hAnsi="仿宋_GB2312" w:eastAsia="仿宋_GB2312" w:cs="仿宋_GB2312"/>
          <w:color w:val="auto"/>
          <w:lang w:val="en-US" w:eastAsia="zh-CN"/>
        </w:rPr>
        <w:t>23.95</w:t>
      </w:r>
      <w:r>
        <w:rPr>
          <w:rFonts w:hint="eastAsia" w:ascii="仿宋_GB2312" w:hAnsi="仿宋_GB2312" w:eastAsia="仿宋_GB2312" w:cs="仿宋_GB2312"/>
        </w:rPr>
        <w:t>分，</w:t>
      </w:r>
      <w:r>
        <w:rPr>
          <w:rFonts w:hint="eastAsia" w:ascii="仿宋_GB2312" w:hAnsi="仿宋_GB2312" w:eastAsia="仿宋_GB2312" w:cs="仿宋_GB2312"/>
          <w:color w:val="auto"/>
        </w:rPr>
        <w:t>得分率</w:t>
      </w:r>
      <w:r>
        <w:rPr>
          <w:rFonts w:hint="eastAsia" w:ascii="仿宋_GB2312" w:hAnsi="仿宋_GB2312" w:eastAsia="仿宋_GB2312" w:cs="仿宋_GB2312"/>
          <w:color w:val="auto"/>
          <w:lang w:val="en-US" w:eastAsia="zh-CN"/>
        </w:rPr>
        <w:t>95.8</w:t>
      </w:r>
      <w:r>
        <w:rPr>
          <w:rFonts w:hint="eastAsia" w:ascii="仿宋_GB2312" w:hAnsi="仿宋_GB2312" w:eastAsia="仿宋_GB2312" w:cs="仿宋_GB2312"/>
          <w:color w:val="auto"/>
        </w:rPr>
        <w:t>%。</w:t>
      </w:r>
    </w:p>
    <w:p w14:paraId="4F519699">
      <w:pPr>
        <w:pStyle w:val="19"/>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u w:val="none"/>
          <w:lang w:val="en-US" w:eastAsia="zh-CN" w:bidi="ar-SA"/>
        </w:rPr>
      </w:pPr>
      <w:r>
        <w:rPr>
          <w:rFonts w:hint="eastAsia" w:ascii="仿宋_GB2312" w:hAnsi="仿宋_GB2312" w:eastAsia="仿宋_GB2312" w:cs="仿宋_GB2312"/>
          <w:b/>
          <w:bCs/>
          <w:color w:val="auto"/>
          <w:kern w:val="0"/>
          <w:sz w:val="32"/>
          <w:szCs w:val="32"/>
          <w:highlight w:val="none"/>
          <w:u w:val="none"/>
          <w:lang w:val="en-US" w:eastAsia="zh-CN" w:bidi="ar-SA"/>
        </w:rPr>
        <w:t>1.社会效益</w:t>
      </w:r>
    </w:p>
    <w:p w14:paraId="20C06555">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为全省及区域经济社会发展规划提供数据支撑及分析，定期向市委市政府报送统计分析、专报49期，获市领导批示16次，批示率32%。坚持月分析、季研判，为全市经济增长提供精准统计服务。2023年度累计撰写安康统计19期，其中专报6期，获市领导批示9次。按时按要求为每月全省经济形势分析会、市委常委会、市政府常委会，稳增长调度会及各</w:t>
      </w:r>
      <w:r>
        <w:rPr>
          <w:rFonts w:hint="eastAsia" w:ascii="仿宋_GB2312" w:hAnsi="仿宋_GB2312" w:cs="仿宋_GB2312"/>
          <w:lang w:val="en-US" w:eastAsia="zh-CN"/>
        </w:rPr>
        <w:t>类</w:t>
      </w:r>
      <w:r>
        <w:rPr>
          <w:rFonts w:hint="eastAsia" w:ascii="仿宋_GB2312" w:hAnsi="仿宋_GB2312" w:eastAsia="仿宋_GB2312" w:cs="仿宋_GB2312"/>
          <w:lang w:val="en-US" w:eastAsia="zh-CN"/>
        </w:rPr>
        <w:t>调研座谈提供专题汇报材料23余次。立足一二三产融合发展，重点围绕富硒产品、生态旅游、现代物流、生态经济等具有地方特色、适宜本地发展的行业和产业，形成《加快预制菜产业一二三产融合发展助力全市经济社会高质量发展》、《农业重点产业经营主体调研情况汇报》、《安康市集成电路产业发展状况调研报告》等专题调研报告。</w:t>
      </w:r>
      <w:r>
        <w:rPr>
          <w:rFonts w:hint="eastAsia" w:ascii="仿宋_GB2312" w:hAnsi="仿宋_GB2312" w:eastAsia="仿宋_GB2312" w:cs="仿宋_GB2312"/>
        </w:rPr>
        <w:t>综上，</w:t>
      </w:r>
      <w:r>
        <w:rPr>
          <w:rFonts w:hint="eastAsia" w:ascii="仿宋_GB2312" w:hAnsi="仿宋_GB2312" w:eastAsia="仿宋_GB2312" w:cs="仿宋_GB2312"/>
          <w:lang w:val="en-US" w:eastAsia="zh-CN"/>
        </w:rPr>
        <w:t>该指标总分5分，得5分。</w:t>
      </w:r>
    </w:p>
    <w:p w14:paraId="47349D9F">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②为群众及社会各界提供经济社会发展相关数据信息。安康市统计局定期发布《国</w:t>
      </w:r>
      <w:r>
        <w:rPr>
          <w:rFonts w:hint="eastAsia" w:ascii="仿宋_GB2312" w:hAnsi="仿宋_GB2312" w:cs="仿宋_GB2312"/>
          <w:lang w:val="en-US" w:eastAsia="zh-CN"/>
        </w:rPr>
        <w:t>民</w:t>
      </w:r>
      <w:r>
        <w:rPr>
          <w:rFonts w:hint="eastAsia" w:ascii="仿宋_GB2312" w:hAnsi="仿宋_GB2312" w:eastAsia="仿宋_GB2312" w:cs="仿宋_GB2312"/>
          <w:lang w:val="en-US" w:eastAsia="zh-CN"/>
        </w:rPr>
        <w:t>经济和社会发展统计公报》及《公报解读》，定期发布《安康统计年鉴》，并且通过安康市统计局官方网站、微信公众号等平台，定期发布月度、季度、年度统计数据和分析报告，2023年度安康市统计局网站刊载各类信息280篇，</w:t>
      </w:r>
      <w:r>
        <w:rPr>
          <w:rFonts w:hint="eastAsia" w:ascii="仿宋_GB2312" w:hAnsi="仿宋_GB2312" w:eastAsia="仿宋_GB2312" w:cs="仿宋_GB2312"/>
          <w:color w:val="auto"/>
          <w:lang w:val="en-US" w:eastAsia="zh-CN"/>
        </w:rPr>
        <w:t>基本</w:t>
      </w:r>
      <w:r>
        <w:rPr>
          <w:rFonts w:hint="eastAsia" w:ascii="仿宋_GB2312" w:hAnsi="仿宋_GB2312" w:eastAsia="仿宋_GB2312" w:cs="仿宋_GB2312"/>
          <w:lang w:val="en-US" w:eastAsia="zh-CN"/>
        </w:rPr>
        <w:t>满足了群众及社会各界的统计需求。</w:t>
      </w:r>
      <w:r>
        <w:rPr>
          <w:rFonts w:hint="eastAsia" w:ascii="仿宋_GB2312" w:hAnsi="仿宋_GB2312" w:eastAsia="仿宋_GB2312" w:cs="仿宋_GB2312"/>
        </w:rPr>
        <w:t>综上，</w:t>
      </w:r>
      <w:r>
        <w:rPr>
          <w:rFonts w:hint="eastAsia" w:ascii="仿宋_GB2312" w:hAnsi="仿宋_GB2312" w:eastAsia="仿宋_GB2312" w:cs="仿宋_GB2312"/>
          <w:lang w:val="en-US" w:eastAsia="zh-CN"/>
        </w:rPr>
        <w:t>该指标总分5分，</w:t>
      </w:r>
      <w:r>
        <w:rPr>
          <w:rFonts w:hint="eastAsia" w:ascii="仿宋_GB2312" w:hAnsi="仿宋_GB2312" w:eastAsia="仿宋_GB2312" w:cs="仿宋_GB2312"/>
          <w:color w:val="auto"/>
          <w:lang w:val="en-US" w:eastAsia="zh-CN"/>
        </w:rPr>
        <w:t>得4.5分</w:t>
      </w:r>
      <w:r>
        <w:rPr>
          <w:rFonts w:hint="eastAsia" w:ascii="仿宋_GB2312" w:hAnsi="仿宋_GB2312" w:eastAsia="仿宋_GB2312" w:cs="仿宋_GB2312"/>
          <w:lang w:val="en-US" w:eastAsia="zh-CN"/>
        </w:rPr>
        <w:t>。</w:t>
      </w:r>
    </w:p>
    <w:p w14:paraId="6C6EEC4B">
      <w:pPr>
        <w:pStyle w:val="19"/>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u w:val="none"/>
          <w:lang w:val="en-US" w:eastAsia="zh-CN" w:bidi="ar-SA"/>
        </w:rPr>
      </w:pPr>
      <w:r>
        <w:rPr>
          <w:rFonts w:hint="eastAsia" w:ascii="仿宋_GB2312" w:hAnsi="仿宋_GB2312" w:eastAsia="仿宋_GB2312" w:cs="仿宋_GB2312"/>
          <w:b/>
          <w:bCs/>
          <w:color w:val="auto"/>
          <w:kern w:val="0"/>
          <w:sz w:val="32"/>
          <w:szCs w:val="32"/>
          <w:highlight w:val="none"/>
          <w:u w:val="none"/>
          <w:lang w:val="en-US" w:eastAsia="zh-CN" w:bidi="ar-SA"/>
        </w:rPr>
        <w:t>2.可持续影响</w:t>
      </w:r>
    </w:p>
    <w:p w14:paraId="7CA101F3">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统计业务工作可持续性，统计数据是经济社会运行结果的综合反映，是判断宏观经济走势、重大政策成效和高质量发展进程的客观基础，是制定调控政策和加强宏观管理的重要依据。</w:t>
      </w:r>
      <w:r>
        <w:rPr>
          <w:rFonts w:hint="eastAsia" w:ascii="仿宋_GB2312" w:hAnsi="仿宋_GB2312" w:eastAsia="仿宋_GB2312" w:cs="仿宋_GB2312"/>
          <w:b w:val="0"/>
          <w:bCs w:val="0"/>
          <w:color w:val="auto"/>
          <w:lang w:val="en-US" w:eastAsia="zh-CN"/>
        </w:rPr>
        <w:t>统计工</w:t>
      </w:r>
      <w:r>
        <w:rPr>
          <w:rFonts w:hint="eastAsia" w:ascii="仿宋_GB2312" w:hAnsi="仿宋_GB2312" w:cs="仿宋_GB2312"/>
          <w:b w:val="0"/>
          <w:bCs w:val="0"/>
          <w:color w:val="auto"/>
          <w:lang w:val="en-US" w:eastAsia="zh-CN"/>
        </w:rPr>
        <w:t>作</w:t>
      </w:r>
      <w:r>
        <w:rPr>
          <w:rFonts w:hint="eastAsia" w:ascii="仿宋_GB2312" w:hAnsi="仿宋_GB2312" w:eastAsia="仿宋_GB2312" w:cs="仿宋_GB2312"/>
          <w:b w:val="0"/>
          <w:bCs w:val="0"/>
          <w:color w:val="auto"/>
          <w:lang w:val="en-US" w:eastAsia="zh-CN"/>
        </w:rPr>
        <w:t>将在安康的发展和建设中发挥自身职能作用，为推动安康高质量发展贡献统计力量。</w:t>
      </w:r>
      <w:r>
        <w:rPr>
          <w:rFonts w:hint="eastAsia" w:ascii="仿宋_GB2312" w:hAnsi="仿宋_GB2312" w:eastAsia="仿宋_GB2312" w:cs="仿宋_GB2312"/>
          <w:lang w:val="en-US" w:eastAsia="zh-CN"/>
        </w:rPr>
        <w:t>同时，通过数据变化及时反映经济运行趋势和存在问题，提出</w:t>
      </w:r>
      <w:r>
        <w:rPr>
          <w:rFonts w:hint="eastAsia" w:ascii="仿宋_GB2312" w:hAnsi="仿宋_GB2312" w:cs="仿宋_GB2312"/>
          <w:lang w:val="en-US" w:eastAsia="zh-CN"/>
        </w:rPr>
        <w:t>对策</w:t>
      </w:r>
      <w:r>
        <w:rPr>
          <w:rFonts w:hint="eastAsia" w:ascii="仿宋_GB2312" w:hAnsi="仿宋_GB2312" w:eastAsia="仿宋_GB2312" w:cs="仿宋_GB2312"/>
          <w:lang w:val="en-US" w:eastAsia="zh-CN"/>
        </w:rPr>
        <w:t>建议，推动经济运行整体好转和发展质量提升。综上，统计工作长期可持续，该指标总分5分，得5分。</w:t>
      </w:r>
    </w:p>
    <w:p w14:paraId="5D445CE5">
      <w:pPr>
        <w:pStyle w:val="19"/>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u w:val="none"/>
          <w:lang w:val="en-US" w:eastAsia="zh-CN" w:bidi="ar-SA"/>
        </w:rPr>
      </w:pPr>
      <w:r>
        <w:rPr>
          <w:rFonts w:hint="eastAsia" w:ascii="仿宋_GB2312" w:hAnsi="仿宋_GB2312" w:eastAsia="仿宋_GB2312" w:cs="仿宋_GB2312"/>
          <w:b/>
          <w:bCs/>
          <w:color w:val="auto"/>
          <w:kern w:val="0"/>
          <w:sz w:val="32"/>
          <w:szCs w:val="32"/>
          <w:highlight w:val="none"/>
          <w:u w:val="none"/>
          <w:lang w:val="en-US" w:eastAsia="zh-CN" w:bidi="ar-SA"/>
        </w:rPr>
        <w:t>3.项目满意度</w:t>
      </w:r>
    </w:p>
    <w:p w14:paraId="1C7E1746">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①政府相关使用者满意度</w:t>
      </w:r>
    </w:p>
    <w:p w14:paraId="3B7680F4">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经了解，市委市政府对数据统计汇报材料及分析满意度为95%,其他部门对统计数据满意度为92%。综上，该指标总分5分，</w:t>
      </w:r>
      <w:r>
        <w:rPr>
          <w:rFonts w:hint="eastAsia" w:ascii="仿宋_GB2312" w:hAnsi="仿宋_GB2312" w:eastAsia="仿宋_GB2312" w:cs="仿宋_GB2312"/>
          <w:color w:val="auto"/>
          <w:lang w:val="en-US" w:eastAsia="zh-CN"/>
        </w:rPr>
        <w:t>得4.7分。</w:t>
      </w:r>
    </w:p>
    <w:p w14:paraId="1B688256">
      <w:pPr>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②社会各界相关使用者满意度</w:t>
      </w:r>
    </w:p>
    <w:p w14:paraId="7D21C517">
      <w:pPr>
        <w:bidi w:val="0"/>
        <w:rPr>
          <w:rFonts w:hint="eastAsia" w:ascii="Times New Roman" w:hAnsi="Times New Roman" w:eastAsia="黑体" w:cs="Times New Roman"/>
          <w:b w:val="0"/>
          <w:bCs w:val="0"/>
          <w:sz w:val="32"/>
          <w:szCs w:val="32"/>
          <w:highlight w:val="none"/>
          <w:u w:val="none"/>
          <w:lang w:eastAsia="zh-CN"/>
        </w:rPr>
      </w:pPr>
      <w:r>
        <w:rPr>
          <w:rFonts w:hint="eastAsia" w:ascii="仿宋_GB2312" w:hAnsi="仿宋_GB2312" w:eastAsia="仿宋_GB2312" w:cs="仿宋_GB2312"/>
          <w:lang w:val="en-US" w:eastAsia="zh-CN"/>
        </w:rPr>
        <w:t>社会各界对公布的统计数据及解读满意度为92.5%。综上，该指标总分5分</w:t>
      </w:r>
      <w:r>
        <w:rPr>
          <w:rFonts w:hint="eastAsia" w:ascii="仿宋_GB2312" w:hAnsi="仿宋_GB2312" w:eastAsia="仿宋_GB2312" w:cs="仿宋_GB2312"/>
          <w:color w:val="auto"/>
          <w:lang w:val="en-US" w:eastAsia="zh-CN"/>
        </w:rPr>
        <w:t>，得4.75分。</w:t>
      </w:r>
      <w:bookmarkStart w:id="24" w:name="_Toc28119"/>
      <w:bookmarkStart w:id="25" w:name="_Toc1591813368"/>
      <w:bookmarkStart w:id="50" w:name="_GoBack"/>
      <w:bookmarkEnd w:id="50"/>
    </w:p>
    <w:p w14:paraId="1DED35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sz w:val="32"/>
          <w:szCs w:val="32"/>
          <w:highlight w:val="none"/>
          <w:u w:val="none"/>
        </w:rPr>
      </w:pPr>
      <w:r>
        <w:rPr>
          <w:rFonts w:hint="eastAsia" w:ascii="Times New Roman" w:hAnsi="Times New Roman" w:eastAsia="黑体" w:cs="Times New Roman"/>
          <w:b w:val="0"/>
          <w:bCs w:val="0"/>
          <w:sz w:val="32"/>
          <w:szCs w:val="32"/>
          <w:highlight w:val="none"/>
          <w:u w:val="none"/>
          <w:lang w:eastAsia="zh-CN"/>
        </w:rPr>
        <w:t>五、</w:t>
      </w:r>
      <w:r>
        <w:rPr>
          <w:rFonts w:hint="default" w:ascii="Times New Roman" w:hAnsi="Times New Roman" w:eastAsia="黑体" w:cs="Times New Roman"/>
          <w:b w:val="0"/>
          <w:bCs w:val="0"/>
          <w:sz w:val="32"/>
          <w:szCs w:val="32"/>
          <w:highlight w:val="none"/>
          <w:u w:val="none"/>
        </w:rPr>
        <w:t>存在的问题及原因分析</w:t>
      </w:r>
      <w:bookmarkEnd w:id="24"/>
      <w:bookmarkEnd w:id="25"/>
    </w:p>
    <w:p w14:paraId="29958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val="en-US" w:eastAsia="zh-CN"/>
        </w:rPr>
      </w:pPr>
      <w:bookmarkStart w:id="26" w:name="_Toc151457741"/>
      <w:bookmarkStart w:id="27" w:name="_Hlk151128636"/>
      <w:r>
        <w:rPr>
          <w:rFonts w:hint="eastAsia" w:eastAsia="楷体" w:cs="Times New Roman"/>
          <w:b/>
          <w:bCs/>
          <w:sz w:val="32"/>
          <w:szCs w:val="32"/>
          <w:highlight w:val="none"/>
          <w:u w:val="none"/>
          <w:lang w:val="en-US" w:eastAsia="zh-CN"/>
        </w:rPr>
        <w:t>（一）绩效管理水平有待提升</w:t>
      </w:r>
      <w:bookmarkEnd w:id="26"/>
    </w:p>
    <w:p w14:paraId="3CCB8FE6">
      <w:pPr>
        <w:pStyle w:val="24"/>
        <w:rPr>
          <w:rFonts w:hint="eastAsia"/>
        </w:rPr>
      </w:pPr>
      <w:r>
        <w:rPr>
          <w:rFonts w:hint="eastAsia" w:ascii="仿宋_GB2312" w:hAnsi="仿宋_GB2312" w:eastAsia="仿宋_GB2312" w:cs="仿宋_GB2312"/>
          <w:sz w:val="32"/>
          <w:szCs w:val="32"/>
          <w:lang w:val="en-US" w:eastAsia="zh-CN"/>
        </w:rPr>
        <w:t>单位预算绩效管理理念还未形成，预算绩效管意识</w:t>
      </w:r>
      <w:bookmarkStart w:id="28" w:name="OLE_LINK8"/>
      <w:r>
        <w:rPr>
          <w:rFonts w:hint="eastAsia" w:ascii="仿宋_GB2312" w:hAnsi="仿宋_GB2312" w:eastAsia="仿宋_GB2312" w:cs="仿宋_GB2312"/>
          <w:sz w:val="32"/>
          <w:szCs w:val="32"/>
          <w:lang w:val="en-US" w:eastAsia="zh-CN"/>
        </w:rPr>
        <w:t>还需加强</w:t>
      </w:r>
      <w:bookmarkEnd w:id="28"/>
      <w:r>
        <w:rPr>
          <w:rFonts w:hint="eastAsia" w:ascii="仿宋_GB2312" w:hAnsi="仿宋_GB2312" w:eastAsia="仿宋_GB2312" w:cs="仿宋_GB2312"/>
          <w:sz w:val="32"/>
          <w:szCs w:val="32"/>
          <w:lang w:val="en-US" w:eastAsia="zh-CN"/>
        </w:rPr>
        <w:t>，</w:t>
      </w:r>
      <w:r>
        <w:rPr>
          <w:rFonts w:hint="eastAsia"/>
        </w:rPr>
        <w:t>评价组根据各项目单位提供资料统计分析，</w:t>
      </w:r>
      <w:r>
        <w:rPr>
          <w:rFonts w:hint="eastAsia"/>
          <w:lang w:val="en-US" w:eastAsia="zh-CN"/>
        </w:rPr>
        <w:t>160万元的</w:t>
      </w:r>
      <w:r>
        <w:rPr>
          <w:rFonts w:hint="eastAsia"/>
          <w:lang w:eastAsia="zh-CN"/>
        </w:rPr>
        <w:t>统计业务专项资金当年完成</w:t>
      </w:r>
      <w:r>
        <w:rPr>
          <w:rFonts w:hint="eastAsia"/>
        </w:rPr>
        <w:t>为</w:t>
      </w:r>
      <w:r>
        <w:rPr>
          <w:rFonts w:hint="eastAsia"/>
          <w:lang w:val="en-US" w:eastAsia="zh-CN"/>
        </w:rPr>
        <w:t>57.63</w:t>
      </w:r>
      <w:r>
        <w:rPr>
          <w:rFonts w:hint="eastAsia"/>
        </w:rPr>
        <w:t>%，</w:t>
      </w:r>
      <w:r>
        <w:rPr>
          <w:rFonts w:hint="eastAsia"/>
          <w:lang w:eastAsia="zh-CN"/>
        </w:rPr>
        <w:t>结余结转数额较多，说明单位预算绩效管理和预算绩效执行水平有待提升。</w:t>
      </w:r>
    </w:p>
    <w:p w14:paraId="71CFF5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val="en-US" w:eastAsia="zh-CN"/>
        </w:rPr>
      </w:pPr>
      <w:r>
        <w:rPr>
          <w:rFonts w:hint="eastAsia" w:eastAsia="楷体" w:cs="Times New Roman"/>
          <w:b/>
          <w:bCs/>
          <w:sz w:val="32"/>
          <w:szCs w:val="32"/>
          <w:highlight w:val="none"/>
          <w:u w:val="none"/>
          <w:lang w:val="en-US" w:eastAsia="zh-CN"/>
        </w:rPr>
        <w:t>（二）绩效目标设置不尽科学</w:t>
      </w:r>
    </w:p>
    <w:p w14:paraId="67A236EB">
      <w:pPr>
        <w:bidi w:val="0"/>
      </w:pPr>
      <w:r>
        <w:rPr>
          <w:rFonts w:hint="eastAsia"/>
        </w:rPr>
        <w:t>根据</w:t>
      </w:r>
      <w:r>
        <w:rPr>
          <w:rFonts w:hint="eastAsia"/>
          <w:lang w:eastAsia="zh-CN"/>
        </w:rPr>
        <w:t>统计业务专项资金</w:t>
      </w:r>
      <w:r>
        <w:rPr>
          <w:rFonts w:hint="eastAsia"/>
        </w:rPr>
        <w:t>项目绩效目标申报表，时效指标未能</w:t>
      </w:r>
      <w:r>
        <w:rPr>
          <w:rFonts w:hint="eastAsia"/>
          <w:lang w:eastAsia="zh-CN"/>
        </w:rPr>
        <w:t>全部按照专项业务工作</w:t>
      </w:r>
      <w:r>
        <w:rPr>
          <w:rFonts w:hint="eastAsia"/>
        </w:rPr>
        <w:t>进行具体分解，绩效指标明确性不足</w:t>
      </w:r>
      <w:r>
        <w:t>，</w:t>
      </w:r>
      <w:r>
        <w:rPr>
          <w:rFonts w:hint="eastAsia"/>
          <w:lang w:eastAsia="zh-CN"/>
        </w:rPr>
        <w:t>绩效指标细化程度不够，</w:t>
      </w:r>
      <w:r>
        <w:rPr>
          <w:rFonts w:hint="eastAsia"/>
        </w:rPr>
        <w:t>项目设定明确的绩效目标，</w:t>
      </w:r>
      <w:r>
        <w:rPr>
          <w:rFonts w:hint="eastAsia"/>
          <w:lang w:eastAsia="zh-CN"/>
        </w:rPr>
        <w:t>虽</w:t>
      </w:r>
      <w:r>
        <w:rPr>
          <w:rFonts w:hint="eastAsia"/>
        </w:rPr>
        <w:t>与实际工作内容有</w:t>
      </w:r>
      <w:r>
        <w:rPr>
          <w:rFonts w:hint="eastAsia"/>
          <w:lang w:eastAsia="zh-CN"/>
        </w:rPr>
        <w:t>关联</w:t>
      </w:r>
      <w:r>
        <w:rPr>
          <w:rFonts w:hint="eastAsia"/>
        </w:rPr>
        <w:t>，</w:t>
      </w:r>
      <w:r>
        <w:rPr>
          <w:rFonts w:hint="eastAsia"/>
          <w:lang w:val="en-US" w:eastAsia="zh-CN"/>
        </w:rPr>
        <w:t>但是</w:t>
      </w:r>
      <w:r>
        <w:t>产出指标、效益指标细化分解不足，</w:t>
      </w:r>
      <w:r>
        <w:rPr>
          <w:rFonts w:hint="eastAsia"/>
          <w:lang w:val="en-US" w:eastAsia="zh-CN"/>
        </w:rPr>
        <w:t>未对具体</w:t>
      </w:r>
      <w:r>
        <w:t>工作任务进行详细的指标分解。</w:t>
      </w:r>
    </w:p>
    <w:p w14:paraId="64224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val="en-US" w:eastAsia="zh-CN"/>
        </w:rPr>
      </w:pPr>
      <w:bookmarkStart w:id="29" w:name="_Toc151457743"/>
      <w:r>
        <w:rPr>
          <w:rFonts w:hint="eastAsia" w:eastAsia="楷体" w:cs="Times New Roman"/>
          <w:b/>
          <w:bCs/>
          <w:sz w:val="32"/>
          <w:szCs w:val="32"/>
          <w:highlight w:val="none"/>
          <w:u w:val="none"/>
          <w:lang w:val="en-US" w:eastAsia="zh-CN"/>
        </w:rPr>
        <w:t>（三）财务管理规范性不足</w:t>
      </w:r>
      <w:bookmarkEnd w:id="29"/>
    </w:p>
    <w:p w14:paraId="5BFAFDA3">
      <w:pPr>
        <w:pStyle w:val="23"/>
        <w:widowControl w:val="0"/>
        <w:ind w:firstLine="643"/>
        <w:rPr>
          <w:rFonts w:hint="eastAsia" w:ascii="仿宋" w:hAnsi="仿宋" w:eastAsia="仿宋" w:cs="仿宋"/>
          <w:b w:val="0"/>
          <w:bCs w:val="0"/>
          <w:sz w:val="32"/>
          <w:szCs w:val="32"/>
          <w:lang w:val="en-US" w:eastAsia="zh-CN"/>
        </w:rPr>
      </w:pPr>
      <w:bookmarkStart w:id="30" w:name="_Toc151457744"/>
      <w:r>
        <w:rPr>
          <w:rFonts w:hint="eastAsia" w:ascii="仿宋_GB2312" w:hAnsi="仿宋_GB2312" w:eastAsia="仿宋_GB2312" w:cs="仿宋_GB2312"/>
          <w:b w:val="0"/>
          <w:bCs w:val="0"/>
          <w:sz w:val="32"/>
          <w:szCs w:val="32"/>
          <w:lang w:val="en-US" w:eastAsia="zh-CN"/>
        </w:rPr>
        <w:t>少数支出与统计业务工作关联度不大，不符合统计业务经费支出要求，应在其他相关资金中列支，不应在统计业务工作专项经费中列支，单位在专项资金支出时审核把关不严，财务管理规范性有待加强。</w:t>
      </w:r>
    </w:p>
    <w:bookmarkEnd w:id="27"/>
    <w:bookmarkEnd w:id="30"/>
    <w:p w14:paraId="7E3E2253">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sz w:val="32"/>
          <w:szCs w:val="32"/>
          <w:highlight w:val="none"/>
          <w:u w:val="none"/>
          <w:lang w:eastAsia="zh-CN"/>
        </w:rPr>
      </w:pPr>
      <w:bookmarkStart w:id="31" w:name="_Toc3532"/>
      <w:bookmarkStart w:id="32" w:name="_Toc1811310223"/>
      <w:r>
        <w:rPr>
          <w:rFonts w:hint="eastAsia" w:ascii="Times New Roman" w:hAnsi="Times New Roman" w:eastAsia="黑体" w:cs="Times New Roman"/>
          <w:sz w:val="32"/>
          <w:szCs w:val="32"/>
          <w:highlight w:val="none"/>
          <w:u w:val="none"/>
          <w:lang w:val="en-US" w:eastAsia="zh-CN"/>
        </w:rPr>
        <w:t>六</w:t>
      </w:r>
      <w:r>
        <w:rPr>
          <w:rFonts w:hint="default" w:ascii="Times New Roman" w:hAnsi="Times New Roman" w:eastAsia="黑体" w:cs="Times New Roman"/>
          <w:sz w:val="32"/>
          <w:szCs w:val="32"/>
          <w:highlight w:val="none"/>
          <w:u w:val="none"/>
        </w:rPr>
        <w:t>、有关建议</w:t>
      </w:r>
      <w:bookmarkEnd w:id="31"/>
      <w:bookmarkEnd w:id="32"/>
    </w:p>
    <w:p w14:paraId="5B3D41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val="en-US" w:eastAsia="zh-CN"/>
        </w:rPr>
      </w:pPr>
      <w:bookmarkStart w:id="33" w:name="_Toc151457746"/>
      <w:r>
        <w:rPr>
          <w:rFonts w:hint="eastAsia" w:eastAsia="楷体" w:cs="Times New Roman"/>
          <w:b/>
          <w:bCs/>
          <w:sz w:val="32"/>
          <w:szCs w:val="32"/>
          <w:highlight w:val="none"/>
          <w:u w:val="none"/>
          <w:lang w:val="en-US" w:eastAsia="zh-CN"/>
        </w:rPr>
        <w:t>（一）加强</w:t>
      </w:r>
      <w:bookmarkEnd w:id="33"/>
      <w:r>
        <w:rPr>
          <w:rFonts w:hint="eastAsia" w:eastAsia="楷体" w:cs="Times New Roman"/>
          <w:b/>
          <w:bCs/>
          <w:sz w:val="32"/>
          <w:szCs w:val="32"/>
          <w:highlight w:val="none"/>
          <w:u w:val="none"/>
          <w:lang w:val="en-US" w:eastAsia="zh-CN"/>
        </w:rPr>
        <w:t>业务学习，提高绩效管理水平</w:t>
      </w:r>
    </w:p>
    <w:p w14:paraId="5BA68616">
      <w:pPr>
        <w:bidi w:val="0"/>
        <w:outlineLvl w:val="1"/>
        <w:rPr>
          <w:rFonts w:hint="eastAsia"/>
          <w:lang w:eastAsia="zh-CN"/>
        </w:rPr>
      </w:pPr>
      <w:r>
        <w:rPr>
          <w:rFonts w:hint="eastAsia"/>
        </w:rPr>
        <w:t>加强</w:t>
      </w:r>
      <w:r>
        <w:rPr>
          <w:rFonts w:hint="eastAsia"/>
          <w:lang w:eastAsia="zh-CN"/>
        </w:rPr>
        <w:t>预算</w:t>
      </w:r>
      <w:r>
        <w:rPr>
          <w:rFonts w:hint="eastAsia"/>
        </w:rPr>
        <w:t>绩效</w:t>
      </w:r>
      <w:r>
        <w:rPr>
          <w:rFonts w:hint="eastAsia"/>
          <w:lang w:eastAsia="zh-CN"/>
        </w:rPr>
        <w:t>管理业务知识学习，逐步树立预算绩效管理理念，加强绩效</w:t>
      </w:r>
      <w:r>
        <w:rPr>
          <w:rFonts w:hint="eastAsia"/>
        </w:rPr>
        <w:t>目标的质量控制，</w:t>
      </w:r>
      <w:r>
        <w:rPr>
          <w:rFonts w:hint="eastAsia"/>
          <w:lang w:eastAsia="zh-CN"/>
        </w:rPr>
        <w:t>根据细化的绩效指标，</w:t>
      </w:r>
      <w:r>
        <w:t>强化</w:t>
      </w:r>
      <w:r>
        <w:rPr>
          <w:rFonts w:hint="eastAsia"/>
          <w:lang w:eastAsia="zh-CN"/>
        </w:rPr>
        <w:t>统计业务专项资金</w:t>
      </w:r>
      <w:r>
        <w:t>的绩效目标管理</w:t>
      </w:r>
      <w:r>
        <w:rPr>
          <w:rFonts w:hint="eastAsia"/>
          <w:lang w:eastAsia="zh-CN"/>
        </w:rPr>
        <w:t>，做好</w:t>
      </w:r>
      <w:r>
        <w:t>事前绩效评估管理</w:t>
      </w:r>
      <w:r>
        <w:rPr>
          <w:rFonts w:hint="eastAsia"/>
          <w:lang w:eastAsia="zh-CN"/>
        </w:rPr>
        <w:t>和</w:t>
      </w:r>
      <w:r>
        <w:t>绩效运行</w:t>
      </w:r>
      <w:r>
        <w:rPr>
          <w:rFonts w:hint="eastAsia"/>
          <w:lang w:eastAsia="zh-CN"/>
        </w:rPr>
        <w:t>执行</w:t>
      </w:r>
      <w:r>
        <w:t>监控管理</w:t>
      </w:r>
      <w:r>
        <w:rPr>
          <w:rFonts w:hint="eastAsia"/>
          <w:lang w:eastAsia="zh-CN"/>
        </w:rPr>
        <w:t>，进一步规范绩效管理，确保预算绩效目标实现。</w:t>
      </w:r>
      <w:bookmarkStart w:id="34" w:name="_Toc23784"/>
    </w:p>
    <w:p w14:paraId="1833A4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val="en-US" w:eastAsia="zh-CN"/>
        </w:rPr>
      </w:pPr>
      <w:r>
        <w:rPr>
          <w:rFonts w:hint="eastAsia" w:eastAsia="楷体" w:cs="Times New Roman"/>
          <w:b/>
          <w:bCs/>
          <w:sz w:val="32"/>
          <w:szCs w:val="32"/>
          <w:highlight w:val="none"/>
          <w:u w:val="none"/>
          <w:lang w:val="en-US" w:eastAsia="zh-CN"/>
        </w:rPr>
        <w:t>（二）结合工作实际，</w:t>
      </w:r>
      <w:bookmarkEnd w:id="34"/>
      <w:r>
        <w:rPr>
          <w:rFonts w:hint="eastAsia" w:eastAsia="楷体" w:cs="Times New Roman"/>
          <w:b/>
          <w:bCs/>
          <w:sz w:val="32"/>
          <w:szCs w:val="32"/>
          <w:highlight w:val="none"/>
          <w:u w:val="none"/>
          <w:lang w:val="en-US" w:eastAsia="zh-CN"/>
        </w:rPr>
        <w:t>科学设置绩效目标</w:t>
      </w:r>
    </w:p>
    <w:p w14:paraId="6EDD45A4">
      <w:pPr>
        <w:rPr>
          <w:rFonts w:hint="eastAsia"/>
          <w:lang w:val="en-US" w:eastAsia="zh-CN"/>
        </w:rPr>
      </w:pPr>
      <w:r>
        <w:rPr>
          <w:rFonts w:hint="eastAsia" w:ascii="仿宋_GB2312" w:hAnsi="仿宋_GB2312" w:eastAsia="仿宋_GB2312" w:cs="仿宋_GB2312"/>
        </w:rPr>
        <w:t>在</w:t>
      </w:r>
      <w:r>
        <w:rPr>
          <w:rFonts w:hint="eastAsia" w:ascii="仿宋_GB2312" w:hAnsi="仿宋_GB2312" w:eastAsia="仿宋_GB2312" w:cs="仿宋_GB2312"/>
          <w:lang w:eastAsia="zh-CN"/>
        </w:rPr>
        <w:t>年初专项业务经费</w:t>
      </w:r>
      <w:r>
        <w:rPr>
          <w:rFonts w:hint="eastAsia" w:ascii="仿宋_GB2312" w:hAnsi="仿宋_GB2312" w:eastAsia="仿宋_GB2312" w:cs="仿宋_GB2312"/>
        </w:rPr>
        <w:t>申报过程中，</w:t>
      </w:r>
      <w:r>
        <w:rPr>
          <w:rFonts w:hint="eastAsia" w:ascii="仿宋_GB2312" w:hAnsi="仿宋_GB2312" w:eastAsia="仿宋_GB2312" w:cs="仿宋_GB2312"/>
          <w:lang w:eastAsia="zh-CN"/>
        </w:rPr>
        <w:t>根据统计业务工作的需要，科学设置专项资金支出绩效目标</w:t>
      </w:r>
      <w:r>
        <w:rPr>
          <w:rFonts w:hint="eastAsia" w:ascii="仿宋_GB2312" w:hAnsi="仿宋_GB2312" w:eastAsia="仿宋_GB2312" w:cs="仿宋_GB2312"/>
          <w:lang w:val="en-US" w:eastAsia="zh-CN"/>
        </w:rPr>
        <w:t>：1.按照本项目工作任务和预算资金安排情况，明确本项目绩效目标</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2.设置体现各项年度重点工作任务完成情况的三级指标；3.绩效指标确定后，应参考相关历史数据、行业标准、计划标准等，科学设定指标值</w:t>
      </w:r>
      <w:bookmarkStart w:id="35" w:name="_Toc151457748"/>
      <w:r>
        <w:rPr>
          <w:rFonts w:hint="eastAsia" w:ascii="仿宋_GB2312" w:hAnsi="仿宋_GB2312" w:eastAsia="仿宋_GB2312" w:cs="仿宋_GB2312"/>
          <w:lang w:val="en-US" w:eastAsia="zh-CN"/>
        </w:rPr>
        <w:t>。</w:t>
      </w:r>
    </w:p>
    <w:p w14:paraId="1252D4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eastAsia="楷体" w:cs="Times New Roman"/>
          <w:b/>
          <w:bCs/>
          <w:sz w:val="32"/>
          <w:szCs w:val="32"/>
          <w:highlight w:val="none"/>
          <w:u w:val="none"/>
          <w:lang w:val="en-US" w:eastAsia="zh-CN"/>
        </w:rPr>
      </w:pPr>
      <w:r>
        <w:rPr>
          <w:rFonts w:hint="eastAsia" w:eastAsia="楷体" w:cs="Times New Roman"/>
          <w:b/>
          <w:bCs/>
          <w:sz w:val="32"/>
          <w:szCs w:val="32"/>
          <w:highlight w:val="none"/>
          <w:u w:val="none"/>
          <w:lang w:val="en-US" w:eastAsia="zh-CN"/>
        </w:rPr>
        <w:t>（三）规范财务管理，</w:t>
      </w:r>
      <w:bookmarkEnd w:id="35"/>
      <w:r>
        <w:rPr>
          <w:rFonts w:hint="eastAsia" w:eastAsia="楷体" w:cs="Times New Roman"/>
          <w:b/>
          <w:bCs/>
          <w:sz w:val="32"/>
          <w:szCs w:val="32"/>
          <w:highlight w:val="none"/>
          <w:u w:val="none"/>
          <w:lang w:val="en-US" w:eastAsia="zh-CN"/>
        </w:rPr>
        <w:t>充分发挥资金效益</w:t>
      </w:r>
    </w:p>
    <w:p w14:paraId="286DA887">
      <w:pPr>
        <w:pStyle w:val="24"/>
        <w:widowControl w:val="0"/>
        <w:ind w:firstLine="640"/>
      </w:pPr>
      <w:r>
        <w:rPr>
          <w:rFonts w:hint="eastAsia"/>
        </w:rPr>
        <w:t>建议</w:t>
      </w:r>
      <w:r>
        <w:rPr>
          <w:rFonts w:hint="eastAsia"/>
          <w:lang w:eastAsia="zh-CN"/>
        </w:rPr>
        <w:t>统计局出台统计业务工作专项资金管理办法，明确资金支出范围、标准，规范资金支出核销程序。</w:t>
      </w:r>
      <w:r>
        <w:rPr>
          <w:rFonts w:hint="eastAsia"/>
        </w:rPr>
        <w:t>财务</w:t>
      </w:r>
      <w:r>
        <w:rPr>
          <w:rFonts w:hint="eastAsia"/>
          <w:lang w:eastAsia="zh-CN"/>
        </w:rPr>
        <w:t>工作人员要严格执行财经纪律，按照管理制度</w:t>
      </w:r>
      <w:r>
        <w:rPr>
          <w:rFonts w:hint="eastAsia"/>
        </w:rPr>
        <w:t>规</w:t>
      </w:r>
      <w:r>
        <w:rPr>
          <w:rFonts w:hint="eastAsia"/>
          <w:lang w:eastAsia="zh-CN"/>
        </w:rPr>
        <w:t>和专项资金管理要求，审核支出的合法性、真实性、合理性、合规性。单位</w:t>
      </w:r>
      <w:r>
        <w:rPr>
          <w:rFonts w:hint="eastAsia"/>
        </w:rPr>
        <w:t>对于已出现的不规范现象，</w:t>
      </w:r>
      <w:r>
        <w:rPr>
          <w:rFonts w:hint="eastAsia"/>
          <w:lang w:eastAsia="zh-CN"/>
        </w:rPr>
        <w:t>要</w:t>
      </w:r>
      <w:r>
        <w:rPr>
          <w:rFonts w:hint="eastAsia"/>
        </w:rPr>
        <w:t>及时分析原因并落实整改。</w:t>
      </w:r>
    </w:p>
    <w:p w14:paraId="07E049C0">
      <w:pPr>
        <w:ind w:left="0" w:leftChars="0" w:firstLine="0" w:firstLineChars="0"/>
        <w:rPr>
          <w:rFonts w:hint="eastAsia"/>
          <w:lang w:val="en-US" w:eastAsia="zh-CN"/>
        </w:rPr>
      </w:pPr>
    </w:p>
    <w:p w14:paraId="206552C1">
      <w:pPr>
        <w:bidi w:val="0"/>
        <w:rPr>
          <w:rFonts w:hint="eastAsia" w:ascii="仿宋_GB2312" w:hAnsi="仿宋_GB2312" w:eastAsia="仿宋_GB2312" w:cs="仿宋_GB2312"/>
          <w:b/>
          <w:bCs/>
          <w:lang w:val="en-US"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
          <w:bCs/>
          <w:lang w:val="en-US" w:eastAsia="zh-CN"/>
        </w:rPr>
        <w:t>附件:安康市统计局2023年度统计业务工作经费绩效评价指标打分表</w:t>
      </w:r>
    </w:p>
    <w:p w14:paraId="0CA8788D">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sz w:val="32"/>
          <w:szCs w:val="32"/>
          <w:lang w:val="en-US" w:eastAsia="zh-CN"/>
        </w:rPr>
      </w:pPr>
      <w:bookmarkStart w:id="36" w:name="_Toc30231"/>
      <w:r>
        <w:rPr>
          <w:rFonts w:hint="eastAsia" w:ascii="黑体" w:hAnsi="黑体" w:eastAsia="黑体" w:cs="黑体"/>
          <w:sz w:val="32"/>
          <w:szCs w:val="32"/>
          <w:lang w:val="en-US" w:eastAsia="zh-CN"/>
        </w:rPr>
        <w:t>附件</w:t>
      </w:r>
      <w:bookmarkEnd w:id="36"/>
      <w:bookmarkStart w:id="37" w:name="_Toc7140"/>
      <w:bookmarkStart w:id="38" w:name="_Toc3621"/>
      <w:bookmarkStart w:id="39" w:name="_Toc23614"/>
      <w:bookmarkStart w:id="40" w:name="_Toc15986"/>
      <w:bookmarkStart w:id="41" w:name="_Toc12819"/>
      <w:bookmarkStart w:id="42" w:name="_Toc23131"/>
      <w:bookmarkStart w:id="43" w:name="_Toc13105"/>
      <w:bookmarkStart w:id="44" w:name="_Toc15597"/>
      <w:r>
        <w:rPr>
          <w:rFonts w:hint="eastAsia" w:ascii="黑体" w:hAnsi="黑体" w:cs="黑体"/>
          <w:sz w:val="32"/>
          <w:szCs w:val="32"/>
          <w:lang w:val="en-US" w:eastAsia="zh-CN"/>
        </w:rPr>
        <w:t>：</w:t>
      </w:r>
    </w:p>
    <w:p w14:paraId="4BAEA339">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安康市</w:t>
      </w:r>
      <w:r>
        <w:rPr>
          <w:rFonts w:hint="eastAsia" w:ascii="方正小标宋_GBK" w:hAnsi="方正小标宋_GBK" w:eastAsia="方正小标宋_GBK" w:cs="方正小标宋_GBK"/>
          <w:sz w:val="44"/>
          <w:szCs w:val="44"/>
          <w:lang w:val="en-US" w:eastAsia="zh-CN"/>
        </w:rPr>
        <w:t>统计</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lang w:val="en-US" w:eastAsia="zh-CN"/>
        </w:rPr>
        <w:t>2023年度统计业务工作经费绩效评价指标打分表</w:t>
      </w:r>
      <w:bookmarkEnd w:id="37"/>
      <w:bookmarkEnd w:id="38"/>
      <w:bookmarkEnd w:id="39"/>
      <w:bookmarkEnd w:id="40"/>
      <w:bookmarkEnd w:id="41"/>
      <w:bookmarkEnd w:id="42"/>
      <w:bookmarkEnd w:id="43"/>
      <w:bookmarkEnd w:id="44"/>
    </w:p>
    <w:tbl>
      <w:tblPr>
        <w:tblStyle w:val="13"/>
        <w:tblW w:w="13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6"/>
        <w:gridCol w:w="1050"/>
        <w:gridCol w:w="1020"/>
        <w:gridCol w:w="945"/>
        <w:gridCol w:w="2730"/>
        <w:gridCol w:w="2999"/>
        <w:gridCol w:w="840"/>
        <w:gridCol w:w="2055"/>
        <w:gridCol w:w="915"/>
      </w:tblGrid>
      <w:tr w14:paraId="4FBB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blHeader/>
        </w:trPr>
        <w:tc>
          <w:tcPr>
            <w:tcW w:w="1006" w:type="dxa"/>
            <w:shd w:val="clear" w:color="auto" w:fill="FFFFFF"/>
            <w:vAlign w:val="center"/>
          </w:tcPr>
          <w:p w14:paraId="757B26C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1050" w:type="dxa"/>
            <w:shd w:val="clear" w:color="auto" w:fill="FFFFFF"/>
            <w:vAlign w:val="center"/>
          </w:tcPr>
          <w:p w14:paraId="648716D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1020" w:type="dxa"/>
            <w:shd w:val="clear" w:color="auto" w:fill="FFFFFF"/>
            <w:vAlign w:val="center"/>
          </w:tcPr>
          <w:p w14:paraId="198727D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945" w:type="dxa"/>
            <w:shd w:val="clear" w:color="auto" w:fill="FFFFFF"/>
            <w:vAlign w:val="center"/>
          </w:tcPr>
          <w:p w14:paraId="77BC46C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四级指标</w:t>
            </w:r>
          </w:p>
        </w:tc>
        <w:tc>
          <w:tcPr>
            <w:tcW w:w="2730" w:type="dxa"/>
            <w:shd w:val="clear" w:color="auto" w:fill="FFFFFF"/>
            <w:vAlign w:val="center"/>
          </w:tcPr>
          <w:p w14:paraId="7BEDE2F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指标解释</w:t>
            </w:r>
          </w:p>
        </w:tc>
        <w:tc>
          <w:tcPr>
            <w:tcW w:w="2999" w:type="dxa"/>
            <w:shd w:val="clear" w:color="auto" w:fill="FFFFFF"/>
            <w:vAlign w:val="center"/>
          </w:tcPr>
          <w:p w14:paraId="1287814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评分标准</w:t>
            </w:r>
          </w:p>
        </w:tc>
        <w:tc>
          <w:tcPr>
            <w:tcW w:w="840" w:type="dxa"/>
            <w:shd w:val="clear" w:color="auto" w:fill="FFFFFF"/>
            <w:vAlign w:val="center"/>
          </w:tcPr>
          <w:p w14:paraId="1B7992E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指标分值</w:t>
            </w:r>
          </w:p>
        </w:tc>
        <w:tc>
          <w:tcPr>
            <w:tcW w:w="2055" w:type="dxa"/>
            <w:shd w:val="clear" w:color="auto" w:fill="FFFFFF"/>
            <w:vAlign w:val="center"/>
          </w:tcPr>
          <w:p w14:paraId="164FC6C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cs="仿宋_GB2312"/>
                <w:b/>
                <w:bCs/>
                <w:i w:val="0"/>
                <w:iCs w:val="0"/>
                <w:color w:val="000000"/>
                <w:kern w:val="0"/>
                <w:sz w:val="24"/>
                <w:szCs w:val="24"/>
                <w:u w:val="none"/>
                <w:lang w:val="en-US" w:eastAsia="zh-CN" w:bidi="ar"/>
              </w:rPr>
              <w:t>扣分原因</w:t>
            </w:r>
          </w:p>
        </w:tc>
        <w:tc>
          <w:tcPr>
            <w:tcW w:w="915" w:type="dxa"/>
            <w:shd w:val="clear" w:color="auto" w:fill="FFFFFF"/>
            <w:vAlign w:val="center"/>
          </w:tcPr>
          <w:p w14:paraId="53A38BD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实际得分</w:t>
            </w:r>
          </w:p>
        </w:tc>
      </w:tr>
      <w:tr w14:paraId="79D8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restart"/>
            <w:shd w:val="clear" w:color="auto" w:fill="auto"/>
            <w:vAlign w:val="center"/>
          </w:tcPr>
          <w:p w14:paraId="42839120">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决策</w:t>
            </w:r>
          </w:p>
          <w:p w14:paraId="7F7ED53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（10分）</w:t>
            </w:r>
          </w:p>
        </w:tc>
        <w:tc>
          <w:tcPr>
            <w:tcW w:w="1050" w:type="dxa"/>
            <w:vMerge w:val="restart"/>
            <w:shd w:val="clear" w:color="auto" w:fill="auto"/>
            <w:vAlign w:val="center"/>
          </w:tcPr>
          <w:p w14:paraId="4168E7F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项目立项</w:t>
            </w:r>
          </w:p>
          <w:p w14:paraId="4F22F8F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（2分）</w:t>
            </w:r>
          </w:p>
        </w:tc>
        <w:tc>
          <w:tcPr>
            <w:tcW w:w="1020" w:type="dxa"/>
            <w:shd w:val="clear" w:color="auto" w:fill="auto"/>
            <w:vAlign w:val="center"/>
          </w:tcPr>
          <w:p w14:paraId="221D91F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立项依据充分性</w:t>
            </w:r>
          </w:p>
        </w:tc>
        <w:tc>
          <w:tcPr>
            <w:tcW w:w="945" w:type="dxa"/>
            <w:shd w:val="clear" w:color="auto" w:fill="auto"/>
            <w:vAlign w:val="center"/>
          </w:tcPr>
          <w:p w14:paraId="4C261DA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3925991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项目立项是否符合法律法规、相关政策、发展规划以及部门职责，用以反映和考核项目立项依据情况。</w:t>
            </w:r>
          </w:p>
        </w:tc>
        <w:tc>
          <w:tcPr>
            <w:tcW w:w="2999" w:type="dxa"/>
            <w:shd w:val="clear" w:color="auto" w:fill="auto"/>
            <w:vAlign w:val="center"/>
          </w:tcPr>
          <w:p w14:paraId="4D9A4E80">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①项目立项是否符合国家法律法规、国民经济发展规划和相关政策；</w:t>
            </w:r>
          </w:p>
          <w:p w14:paraId="2FF42128">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②项目立项是否符合行业发展规划和政策要求；</w:t>
            </w:r>
          </w:p>
          <w:p w14:paraId="383EBD99">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③项目立项是否与部门职责范围相符，属于部门履职所需；</w:t>
            </w:r>
          </w:p>
          <w:p w14:paraId="4C2A50F2">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④项目是否属于公共财政支持范围，是否符合中央、地方事权支出责任划分原则；</w:t>
            </w:r>
          </w:p>
          <w:p w14:paraId="763C4418">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⑤项目是否与相关部门同类项目或部门内部相关项目重复。</w:t>
            </w:r>
          </w:p>
        </w:tc>
        <w:tc>
          <w:tcPr>
            <w:tcW w:w="840" w:type="dxa"/>
            <w:shd w:val="clear" w:color="auto" w:fill="auto"/>
            <w:vAlign w:val="center"/>
          </w:tcPr>
          <w:p w14:paraId="080649E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055" w:type="dxa"/>
            <w:shd w:val="clear" w:color="auto" w:fill="auto"/>
            <w:vAlign w:val="center"/>
          </w:tcPr>
          <w:p w14:paraId="7E7CB33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2DBD61F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r>
      <w:tr w14:paraId="1861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2ADF1B09">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248014E8">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shd w:val="clear" w:color="auto" w:fill="auto"/>
            <w:vAlign w:val="center"/>
          </w:tcPr>
          <w:p w14:paraId="22016196">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立项程序规范性</w:t>
            </w:r>
          </w:p>
        </w:tc>
        <w:tc>
          <w:tcPr>
            <w:tcW w:w="945" w:type="dxa"/>
            <w:shd w:val="clear" w:color="auto" w:fill="auto"/>
            <w:vAlign w:val="center"/>
          </w:tcPr>
          <w:p w14:paraId="5DF5EC0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02E0C63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项目申请、设立过程是否符合相关要求，用以反映和考核项目立项的规范情况。</w:t>
            </w:r>
          </w:p>
        </w:tc>
        <w:tc>
          <w:tcPr>
            <w:tcW w:w="2999" w:type="dxa"/>
            <w:shd w:val="clear" w:color="auto" w:fill="auto"/>
            <w:vAlign w:val="center"/>
          </w:tcPr>
          <w:p w14:paraId="749C0BFC">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①项目是否按照规定的程序申请设立；</w:t>
            </w:r>
          </w:p>
          <w:p w14:paraId="3AF59E80">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②审批文件、材料是否符合相关要求；</w:t>
            </w:r>
          </w:p>
          <w:p w14:paraId="5C3CFFD6">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③事前是否已经过必要的可行性研究、专家论证、风险评估、绩效评估、集体决策。</w:t>
            </w:r>
          </w:p>
        </w:tc>
        <w:tc>
          <w:tcPr>
            <w:tcW w:w="840" w:type="dxa"/>
            <w:shd w:val="clear" w:color="auto" w:fill="auto"/>
            <w:vAlign w:val="center"/>
          </w:tcPr>
          <w:p w14:paraId="3D6A76E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055" w:type="dxa"/>
            <w:shd w:val="clear" w:color="auto" w:fill="auto"/>
            <w:vAlign w:val="center"/>
          </w:tcPr>
          <w:p w14:paraId="6764064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205CD27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r>
      <w:tr w14:paraId="3A18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4D6FB2DA">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restart"/>
            <w:shd w:val="clear" w:color="auto" w:fill="auto"/>
            <w:vAlign w:val="center"/>
          </w:tcPr>
          <w:p w14:paraId="191E479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绩效目标</w:t>
            </w:r>
          </w:p>
          <w:p w14:paraId="640EB4D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（5分）</w:t>
            </w:r>
          </w:p>
        </w:tc>
        <w:tc>
          <w:tcPr>
            <w:tcW w:w="1020" w:type="dxa"/>
            <w:shd w:val="clear" w:color="auto" w:fill="auto"/>
            <w:vAlign w:val="center"/>
          </w:tcPr>
          <w:p w14:paraId="51F879D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绩效目标合理性</w:t>
            </w:r>
          </w:p>
        </w:tc>
        <w:tc>
          <w:tcPr>
            <w:tcW w:w="945" w:type="dxa"/>
            <w:shd w:val="clear" w:color="auto" w:fill="auto"/>
            <w:vAlign w:val="center"/>
          </w:tcPr>
          <w:p w14:paraId="0456FD8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3E92EFE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项目所设定的绩效目标是否依据充分，是否符合客观实际，用以反映和考核项目绩效目标与项目实施的相符情况。</w:t>
            </w:r>
          </w:p>
        </w:tc>
        <w:tc>
          <w:tcPr>
            <w:tcW w:w="2999" w:type="dxa"/>
            <w:shd w:val="clear" w:color="auto" w:fill="auto"/>
            <w:vAlign w:val="center"/>
          </w:tcPr>
          <w:p w14:paraId="6623EC7E">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①项目是否有绩效目标；</w:t>
            </w:r>
          </w:p>
          <w:p w14:paraId="3DFF7771">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②项目绩效目标与实际工作内容是否具有相关性；</w:t>
            </w:r>
          </w:p>
          <w:p w14:paraId="3ECB6BF5">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③项目预期产出效益和效果是否符合正常的业绩水平；</w:t>
            </w:r>
          </w:p>
          <w:p w14:paraId="5E915F44">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④是否与预算确定的项目投资额或资金量相匹配。</w:t>
            </w:r>
          </w:p>
        </w:tc>
        <w:tc>
          <w:tcPr>
            <w:tcW w:w="840" w:type="dxa"/>
            <w:shd w:val="clear" w:color="auto" w:fill="auto"/>
            <w:vAlign w:val="center"/>
          </w:tcPr>
          <w:p w14:paraId="0012EDC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55" w:type="dxa"/>
            <w:shd w:val="clear" w:color="auto" w:fill="auto"/>
            <w:vAlign w:val="center"/>
          </w:tcPr>
          <w:p w14:paraId="2D9D595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eastAsia="zh-CN"/>
              </w:rPr>
            </w:pPr>
          </w:p>
        </w:tc>
        <w:tc>
          <w:tcPr>
            <w:tcW w:w="915" w:type="dxa"/>
            <w:shd w:val="clear" w:color="auto" w:fill="auto"/>
            <w:vAlign w:val="center"/>
          </w:tcPr>
          <w:p w14:paraId="571259C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2</w:t>
            </w:r>
          </w:p>
        </w:tc>
      </w:tr>
      <w:tr w14:paraId="0B36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3167309D">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40EB72EB">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shd w:val="clear" w:color="auto" w:fill="auto"/>
            <w:vAlign w:val="center"/>
          </w:tcPr>
          <w:p w14:paraId="232FF9A0">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绩效指标明确性</w:t>
            </w:r>
          </w:p>
        </w:tc>
        <w:tc>
          <w:tcPr>
            <w:tcW w:w="945" w:type="dxa"/>
            <w:shd w:val="clear" w:color="auto" w:fill="auto"/>
            <w:vAlign w:val="center"/>
          </w:tcPr>
          <w:p w14:paraId="6D1D7CA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65D64570">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依据绩效目标设定的绩效指标是否清晰、细化、可衡量等，用以反映和考核项目绩效目标的明细化情况。</w:t>
            </w:r>
          </w:p>
        </w:tc>
        <w:tc>
          <w:tcPr>
            <w:tcW w:w="2999" w:type="dxa"/>
            <w:shd w:val="clear" w:color="auto" w:fill="auto"/>
            <w:vAlign w:val="center"/>
          </w:tcPr>
          <w:p w14:paraId="3780044F">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①是否将项目绩效目标细化分解为具体的绩效指标；</w:t>
            </w:r>
          </w:p>
          <w:p w14:paraId="65E88239">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②是否通过清晰、可衡量的指标值予以体现；</w:t>
            </w:r>
          </w:p>
          <w:p w14:paraId="7706A093">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③是否与项目目标任务数或计划数相对应。</w:t>
            </w:r>
          </w:p>
        </w:tc>
        <w:tc>
          <w:tcPr>
            <w:tcW w:w="840" w:type="dxa"/>
            <w:shd w:val="clear" w:color="auto" w:fill="auto"/>
            <w:vAlign w:val="center"/>
          </w:tcPr>
          <w:p w14:paraId="4C5AFE0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451E538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sz w:val="24"/>
                <w:szCs w:val="24"/>
                <w:u w:val="none"/>
              </w:rPr>
              <w:t>项目设定明确的绩效目标，且与实际工作内容有相关性，</w:t>
            </w:r>
            <w:r>
              <w:rPr>
                <w:rFonts w:hint="eastAsia" w:ascii="仿宋_GB2312" w:hAnsi="仿宋_GB2312" w:eastAsia="仿宋_GB2312" w:cs="仿宋_GB2312"/>
                <w:b w:val="0"/>
                <w:bCs w:val="0"/>
                <w:i w:val="0"/>
                <w:iCs w:val="0"/>
                <w:color w:val="000000"/>
                <w:sz w:val="24"/>
                <w:szCs w:val="24"/>
                <w:u w:val="none"/>
                <w:lang w:val="en-US" w:eastAsia="zh-CN"/>
              </w:rPr>
              <w:t>但是</w:t>
            </w:r>
            <w:r>
              <w:rPr>
                <w:rFonts w:hint="eastAsia" w:ascii="仿宋_GB2312" w:hAnsi="仿宋_GB2312" w:eastAsia="仿宋_GB2312" w:cs="仿宋_GB2312"/>
                <w:b w:val="0"/>
                <w:bCs w:val="0"/>
                <w:i w:val="0"/>
                <w:iCs w:val="0"/>
                <w:color w:val="000000"/>
                <w:sz w:val="24"/>
                <w:szCs w:val="24"/>
                <w:u w:val="none"/>
              </w:rPr>
              <w:t>产出指标、效益指标细化分解不足，</w:t>
            </w:r>
            <w:r>
              <w:rPr>
                <w:rFonts w:hint="eastAsia" w:ascii="仿宋_GB2312" w:hAnsi="仿宋_GB2312" w:eastAsia="仿宋_GB2312" w:cs="仿宋_GB2312"/>
                <w:b w:val="0"/>
                <w:bCs w:val="0"/>
                <w:i w:val="0"/>
                <w:iCs w:val="0"/>
                <w:color w:val="000000"/>
                <w:sz w:val="24"/>
                <w:szCs w:val="24"/>
                <w:u w:val="none"/>
                <w:lang w:val="en-US" w:eastAsia="zh-CN"/>
              </w:rPr>
              <w:t>未对具体</w:t>
            </w:r>
            <w:r>
              <w:rPr>
                <w:rFonts w:hint="eastAsia" w:ascii="仿宋_GB2312" w:hAnsi="仿宋_GB2312" w:eastAsia="仿宋_GB2312" w:cs="仿宋_GB2312"/>
                <w:b w:val="0"/>
                <w:bCs w:val="0"/>
                <w:i w:val="0"/>
                <w:iCs w:val="0"/>
                <w:color w:val="000000"/>
                <w:sz w:val="24"/>
                <w:szCs w:val="24"/>
                <w:u w:val="none"/>
              </w:rPr>
              <w:t>工作任务进行详细的指标分解。</w:t>
            </w:r>
          </w:p>
          <w:p w14:paraId="3BC6A45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460617B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2</w:t>
            </w:r>
          </w:p>
        </w:tc>
      </w:tr>
      <w:tr w14:paraId="4A76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0CC3C4AA">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restart"/>
            <w:shd w:val="clear" w:color="auto" w:fill="auto"/>
            <w:vAlign w:val="center"/>
          </w:tcPr>
          <w:p w14:paraId="56EFFB4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资金投入</w:t>
            </w:r>
          </w:p>
          <w:p w14:paraId="4583F50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（3分）</w:t>
            </w:r>
          </w:p>
        </w:tc>
        <w:tc>
          <w:tcPr>
            <w:tcW w:w="1020" w:type="dxa"/>
            <w:shd w:val="clear" w:color="auto" w:fill="auto"/>
            <w:vAlign w:val="center"/>
          </w:tcPr>
          <w:p w14:paraId="548F32A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预算编制科学性</w:t>
            </w:r>
          </w:p>
        </w:tc>
        <w:tc>
          <w:tcPr>
            <w:tcW w:w="945" w:type="dxa"/>
            <w:shd w:val="clear" w:color="auto" w:fill="auto"/>
            <w:vAlign w:val="center"/>
          </w:tcPr>
          <w:p w14:paraId="5018F73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09F03B6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项目预算编制是否经过科学论证、有明确标准，资金额度与年度目标是否相适应，用以反映和考核项目预算编制的科学性、合理性情况。</w:t>
            </w:r>
          </w:p>
        </w:tc>
        <w:tc>
          <w:tcPr>
            <w:tcW w:w="2999" w:type="dxa"/>
            <w:shd w:val="clear" w:color="auto" w:fill="auto"/>
            <w:vAlign w:val="center"/>
          </w:tcPr>
          <w:p w14:paraId="557B2929">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①预算编制是否经过科学论证；</w:t>
            </w:r>
          </w:p>
          <w:p w14:paraId="197F04FB">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②预算内容与项目内容是否匹配；</w:t>
            </w:r>
          </w:p>
          <w:p w14:paraId="154A440B">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③预算额度测算依据是否充分，是否按照标准编制；</w:t>
            </w:r>
          </w:p>
          <w:p w14:paraId="107E47DC">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④预算确定的项目投资额或资金量是否与工作任务相匹配。</w:t>
            </w:r>
          </w:p>
        </w:tc>
        <w:tc>
          <w:tcPr>
            <w:tcW w:w="840" w:type="dxa"/>
            <w:shd w:val="clear" w:color="auto" w:fill="auto"/>
            <w:vAlign w:val="center"/>
          </w:tcPr>
          <w:p w14:paraId="46959B7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55" w:type="dxa"/>
            <w:shd w:val="clear" w:color="auto" w:fill="auto"/>
            <w:vAlign w:val="center"/>
          </w:tcPr>
          <w:p w14:paraId="76AA17B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5FACE10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2</w:t>
            </w:r>
          </w:p>
        </w:tc>
      </w:tr>
      <w:tr w14:paraId="2169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71C2683E">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20CD56F0">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shd w:val="clear" w:color="auto" w:fill="auto"/>
            <w:vAlign w:val="center"/>
          </w:tcPr>
          <w:p w14:paraId="4A674F3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资金分配合理性</w:t>
            </w:r>
          </w:p>
        </w:tc>
        <w:tc>
          <w:tcPr>
            <w:tcW w:w="945" w:type="dxa"/>
            <w:shd w:val="clear" w:color="auto" w:fill="auto"/>
            <w:vAlign w:val="center"/>
          </w:tcPr>
          <w:p w14:paraId="2F29CAE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65884AF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项目预算资金分配是否有测算依据，与补助单位或地方实际是否相适应，用以反映和考核项目预算资金分配的科学性、合理性情况。</w:t>
            </w:r>
          </w:p>
        </w:tc>
        <w:tc>
          <w:tcPr>
            <w:tcW w:w="2999" w:type="dxa"/>
            <w:shd w:val="clear" w:color="auto" w:fill="auto"/>
            <w:vAlign w:val="center"/>
          </w:tcPr>
          <w:p w14:paraId="249D5279">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①预算资金分配依据是否充分；</w:t>
            </w:r>
          </w:p>
          <w:p w14:paraId="0E738357">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②资金分配额度是否合理，与项目单位或地方实际是否相适应。</w:t>
            </w:r>
          </w:p>
        </w:tc>
        <w:tc>
          <w:tcPr>
            <w:tcW w:w="840" w:type="dxa"/>
            <w:shd w:val="clear" w:color="auto" w:fill="auto"/>
            <w:vAlign w:val="center"/>
          </w:tcPr>
          <w:p w14:paraId="4C41B1D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c>
          <w:tcPr>
            <w:tcW w:w="2055" w:type="dxa"/>
            <w:shd w:val="clear" w:color="auto" w:fill="auto"/>
            <w:vAlign w:val="center"/>
          </w:tcPr>
          <w:p w14:paraId="4215225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eastAsia="zh-CN"/>
              </w:rPr>
            </w:pPr>
          </w:p>
        </w:tc>
        <w:tc>
          <w:tcPr>
            <w:tcW w:w="915" w:type="dxa"/>
            <w:shd w:val="clear" w:color="auto" w:fill="auto"/>
            <w:vAlign w:val="center"/>
          </w:tcPr>
          <w:p w14:paraId="0A82CC0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w:t>
            </w:r>
          </w:p>
        </w:tc>
      </w:tr>
      <w:tr w14:paraId="3B5C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restart"/>
            <w:shd w:val="clear" w:color="auto" w:fill="auto"/>
            <w:vAlign w:val="center"/>
          </w:tcPr>
          <w:p w14:paraId="36B0102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过程</w:t>
            </w:r>
          </w:p>
          <w:p w14:paraId="1E9536F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（27分）</w:t>
            </w:r>
          </w:p>
        </w:tc>
        <w:tc>
          <w:tcPr>
            <w:tcW w:w="1050" w:type="dxa"/>
            <w:vMerge w:val="restart"/>
            <w:shd w:val="clear" w:color="auto" w:fill="auto"/>
            <w:vAlign w:val="center"/>
          </w:tcPr>
          <w:p w14:paraId="23569EA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资金管理</w:t>
            </w:r>
          </w:p>
          <w:p w14:paraId="53DB69E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（16分）</w:t>
            </w:r>
          </w:p>
        </w:tc>
        <w:tc>
          <w:tcPr>
            <w:tcW w:w="1020" w:type="dxa"/>
            <w:shd w:val="clear" w:color="auto" w:fill="auto"/>
            <w:vAlign w:val="center"/>
          </w:tcPr>
          <w:p w14:paraId="2612ACC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预算执行率</w:t>
            </w:r>
          </w:p>
        </w:tc>
        <w:tc>
          <w:tcPr>
            <w:tcW w:w="945" w:type="dxa"/>
            <w:shd w:val="clear" w:color="auto" w:fill="auto"/>
            <w:vAlign w:val="center"/>
          </w:tcPr>
          <w:p w14:paraId="2D9D778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348179C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项目预算资金是否按照计划执行，用以反映或考核项目预算执行情况。</w:t>
            </w:r>
          </w:p>
        </w:tc>
        <w:tc>
          <w:tcPr>
            <w:tcW w:w="2999" w:type="dxa"/>
            <w:shd w:val="clear" w:color="auto" w:fill="auto"/>
            <w:vAlign w:val="center"/>
          </w:tcPr>
          <w:p w14:paraId="64E8F420">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预算执行率=（实际支出资金/实际到位资金）×100%。</w:t>
            </w:r>
          </w:p>
          <w:p w14:paraId="3123248B">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实际支出资金：一定时期（本年度或项目期）内项目实际拨付的资金。</w:t>
            </w:r>
          </w:p>
        </w:tc>
        <w:tc>
          <w:tcPr>
            <w:tcW w:w="840" w:type="dxa"/>
            <w:shd w:val="clear" w:color="auto" w:fill="auto"/>
            <w:vAlign w:val="center"/>
          </w:tcPr>
          <w:p w14:paraId="67E39F0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p>
        </w:tc>
        <w:tc>
          <w:tcPr>
            <w:tcW w:w="2055" w:type="dxa"/>
            <w:shd w:val="clear" w:color="auto" w:fill="auto"/>
            <w:vAlign w:val="center"/>
          </w:tcPr>
          <w:p w14:paraId="143693A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实际到位率160,0000元，实际支付资金</w:t>
            </w:r>
            <w:r>
              <w:rPr>
                <w:rFonts w:hint="eastAsia" w:ascii="仿宋_GB2312" w:hAnsi="仿宋_GB2312" w:eastAsia="仿宋_GB2312" w:cs="仿宋_GB2312"/>
                <w:sz w:val="24"/>
                <w:szCs w:val="24"/>
                <w:highlight w:val="none"/>
                <w:lang w:val="en-US" w:eastAsia="zh-CN"/>
              </w:rPr>
              <w:t>922111.64</w:t>
            </w:r>
            <w:r>
              <w:rPr>
                <w:rFonts w:hint="eastAsia" w:ascii="仿宋_GB2312" w:hAnsi="仿宋_GB2312" w:eastAsia="仿宋_GB2312" w:cs="仿宋_GB2312"/>
                <w:b w:val="0"/>
                <w:bCs w:val="0"/>
                <w:i w:val="0"/>
                <w:iCs w:val="0"/>
                <w:color w:val="000000"/>
                <w:kern w:val="0"/>
                <w:sz w:val="24"/>
                <w:szCs w:val="24"/>
                <w:u w:val="none"/>
                <w:lang w:val="en-US" w:eastAsia="zh-CN" w:bidi="ar"/>
              </w:rPr>
              <w:t>元。预算执行率为57.63%。</w:t>
            </w:r>
          </w:p>
        </w:tc>
        <w:tc>
          <w:tcPr>
            <w:tcW w:w="915" w:type="dxa"/>
            <w:shd w:val="clear" w:color="auto" w:fill="auto"/>
            <w:vAlign w:val="center"/>
          </w:tcPr>
          <w:p w14:paraId="26CEA2B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cs="仿宋_GB2312"/>
                <w:b w:val="0"/>
                <w:bCs w:val="0"/>
                <w:i w:val="0"/>
                <w:iCs w:val="0"/>
                <w:color w:val="000000"/>
                <w:kern w:val="0"/>
                <w:sz w:val="24"/>
                <w:szCs w:val="24"/>
                <w:u w:val="none"/>
                <w:lang w:val="en-US" w:eastAsia="zh-CN" w:bidi="ar"/>
              </w:rPr>
              <w:t>5.76</w:t>
            </w:r>
          </w:p>
        </w:tc>
      </w:tr>
      <w:tr w14:paraId="5B56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4FD07421">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44A39383">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shd w:val="clear" w:color="auto" w:fill="auto"/>
            <w:vAlign w:val="center"/>
          </w:tcPr>
          <w:p w14:paraId="66C9334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资金使用合规性</w:t>
            </w:r>
          </w:p>
        </w:tc>
        <w:tc>
          <w:tcPr>
            <w:tcW w:w="945" w:type="dxa"/>
            <w:shd w:val="clear" w:color="auto" w:fill="auto"/>
            <w:vAlign w:val="center"/>
          </w:tcPr>
          <w:p w14:paraId="74EED7B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6959D94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项目资金使用是否符合相关的财务管理制度规定，用以反映和考核项目资金的规范运行情况。</w:t>
            </w:r>
          </w:p>
        </w:tc>
        <w:tc>
          <w:tcPr>
            <w:tcW w:w="2999" w:type="dxa"/>
            <w:shd w:val="clear" w:color="auto" w:fill="auto"/>
            <w:vAlign w:val="center"/>
          </w:tcPr>
          <w:p w14:paraId="6CA9FAB7">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①是否符合国家财经法规和财务管理制度以及有关专项资金管理办法的规定；</w:t>
            </w:r>
          </w:p>
          <w:p w14:paraId="54D4E42C">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②资金的拨付是否有完整的审批程序和手续；</w:t>
            </w:r>
          </w:p>
          <w:p w14:paraId="4EB12C07">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③是否符合项目预算批复或合同规定的用途；</w:t>
            </w:r>
          </w:p>
          <w:p w14:paraId="4093C661">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④是否存在截留、挤占、挪用、虚列支出等情况。</w:t>
            </w:r>
          </w:p>
        </w:tc>
        <w:tc>
          <w:tcPr>
            <w:tcW w:w="840" w:type="dxa"/>
            <w:shd w:val="clear" w:color="auto" w:fill="auto"/>
            <w:vAlign w:val="center"/>
          </w:tcPr>
          <w:p w14:paraId="017E872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055" w:type="dxa"/>
            <w:shd w:val="clear" w:color="auto" w:fill="auto"/>
            <w:vAlign w:val="center"/>
          </w:tcPr>
          <w:p w14:paraId="4DBB716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少数资金</w:t>
            </w:r>
            <w:r>
              <w:rPr>
                <w:rFonts w:hint="eastAsia" w:ascii="仿宋_GB2312" w:hAnsi="仿宋_GB2312" w:eastAsia="仿宋_GB2312" w:cs="仿宋_GB2312"/>
                <w:b w:val="0"/>
                <w:bCs w:val="0"/>
                <w:i w:val="0"/>
                <w:iCs w:val="0"/>
                <w:color w:val="000000"/>
                <w:kern w:val="0"/>
                <w:sz w:val="24"/>
                <w:szCs w:val="24"/>
                <w:u w:val="none"/>
                <w:lang w:val="en-US" w:eastAsia="zh-CN" w:bidi="ar"/>
              </w:rPr>
              <w:t>使用</w:t>
            </w:r>
            <w:r>
              <w:rPr>
                <w:rFonts w:hint="eastAsia" w:ascii="仿宋_GB2312" w:hAnsi="仿宋_GB2312" w:cs="仿宋_GB2312"/>
                <w:b w:val="0"/>
                <w:bCs w:val="0"/>
                <w:i w:val="0"/>
                <w:iCs w:val="0"/>
                <w:color w:val="000000"/>
                <w:kern w:val="0"/>
                <w:sz w:val="24"/>
                <w:szCs w:val="24"/>
                <w:u w:val="none"/>
                <w:lang w:val="en-US" w:eastAsia="zh-CN" w:bidi="ar"/>
              </w:rPr>
              <w:t>不</w:t>
            </w:r>
            <w:r>
              <w:rPr>
                <w:rFonts w:hint="eastAsia" w:ascii="仿宋_GB2312" w:hAnsi="仿宋_GB2312" w:eastAsia="仿宋_GB2312" w:cs="仿宋_GB2312"/>
                <w:b w:val="0"/>
                <w:bCs w:val="0"/>
                <w:i w:val="0"/>
                <w:iCs w:val="0"/>
                <w:color w:val="000000"/>
                <w:kern w:val="0"/>
                <w:sz w:val="24"/>
                <w:szCs w:val="24"/>
                <w:u w:val="none"/>
                <w:lang w:val="en-US" w:eastAsia="zh-CN" w:bidi="ar"/>
              </w:rPr>
              <w:t>合规</w:t>
            </w:r>
          </w:p>
        </w:tc>
        <w:tc>
          <w:tcPr>
            <w:tcW w:w="915" w:type="dxa"/>
            <w:shd w:val="clear" w:color="auto" w:fill="auto"/>
            <w:vAlign w:val="center"/>
          </w:tcPr>
          <w:p w14:paraId="4ED10B66">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5</w:t>
            </w:r>
          </w:p>
        </w:tc>
      </w:tr>
      <w:tr w14:paraId="2DEB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553790FF">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shd w:val="clear" w:color="auto" w:fill="auto"/>
            <w:vAlign w:val="center"/>
          </w:tcPr>
          <w:p w14:paraId="5B6B0C1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组织实施</w:t>
            </w:r>
          </w:p>
          <w:p w14:paraId="01742D9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（11分）</w:t>
            </w:r>
          </w:p>
        </w:tc>
        <w:tc>
          <w:tcPr>
            <w:tcW w:w="1020" w:type="dxa"/>
            <w:shd w:val="clear" w:color="auto" w:fill="auto"/>
            <w:vAlign w:val="center"/>
          </w:tcPr>
          <w:p w14:paraId="010663A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管理制度健全性</w:t>
            </w:r>
          </w:p>
        </w:tc>
        <w:tc>
          <w:tcPr>
            <w:tcW w:w="945" w:type="dxa"/>
            <w:shd w:val="clear" w:color="auto" w:fill="auto"/>
            <w:vAlign w:val="center"/>
          </w:tcPr>
          <w:p w14:paraId="0302AEF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57C0194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项目实施单位的财务和业务管理制度是否健全，用以反映和考核财务和业务管理制度对项目顺利实施的保障情况。</w:t>
            </w:r>
          </w:p>
        </w:tc>
        <w:tc>
          <w:tcPr>
            <w:tcW w:w="2999" w:type="dxa"/>
            <w:shd w:val="clear" w:color="auto" w:fill="auto"/>
            <w:vAlign w:val="center"/>
          </w:tcPr>
          <w:p w14:paraId="346CBBC8">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①是否已制定或具有相应的财务和业务管理制度；</w:t>
            </w:r>
          </w:p>
          <w:p w14:paraId="0C755621">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②财务和业务管理制度是否合法、合规、完整。</w:t>
            </w:r>
          </w:p>
        </w:tc>
        <w:tc>
          <w:tcPr>
            <w:tcW w:w="840" w:type="dxa"/>
            <w:shd w:val="clear" w:color="auto" w:fill="auto"/>
            <w:vAlign w:val="center"/>
          </w:tcPr>
          <w:p w14:paraId="76C72516">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55" w:type="dxa"/>
            <w:shd w:val="clear" w:color="auto" w:fill="auto"/>
            <w:vAlign w:val="center"/>
          </w:tcPr>
          <w:p w14:paraId="0983D8F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本项目管理制度</w:t>
            </w:r>
            <w:r>
              <w:rPr>
                <w:rFonts w:hint="eastAsia" w:ascii="仿宋_GB2312" w:hAnsi="仿宋_GB2312" w:cs="仿宋_GB2312"/>
                <w:b w:val="0"/>
                <w:bCs w:val="0"/>
                <w:i w:val="0"/>
                <w:iCs w:val="0"/>
                <w:color w:val="000000"/>
                <w:kern w:val="0"/>
                <w:sz w:val="24"/>
                <w:szCs w:val="24"/>
                <w:u w:val="none"/>
                <w:lang w:val="en-US" w:eastAsia="zh-CN" w:bidi="ar"/>
              </w:rPr>
              <w:t>不</w:t>
            </w:r>
            <w:r>
              <w:rPr>
                <w:rFonts w:hint="eastAsia" w:ascii="仿宋_GB2312" w:hAnsi="仿宋_GB2312" w:eastAsia="仿宋_GB2312" w:cs="仿宋_GB2312"/>
                <w:b w:val="0"/>
                <w:bCs w:val="0"/>
                <w:i w:val="0"/>
                <w:iCs w:val="0"/>
                <w:color w:val="000000"/>
                <w:kern w:val="0"/>
                <w:sz w:val="24"/>
                <w:szCs w:val="24"/>
                <w:u w:val="none"/>
                <w:lang w:val="en-US" w:eastAsia="zh-CN" w:bidi="ar"/>
              </w:rPr>
              <w:t>健全</w:t>
            </w:r>
            <w:r>
              <w:rPr>
                <w:rFonts w:hint="eastAsia" w:ascii="仿宋_GB2312" w:hAnsi="仿宋_GB2312" w:cs="仿宋_GB2312"/>
                <w:b w:val="0"/>
                <w:bCs w:val="0"/>
                <w:i w:val="0"/>
                <w:iCs w:val="0"/>
                <w:color w:val="000000"/>
                <w:kern w:val="0"/>
                <w:sz w:val="24"/>
                <w:szCs w:val="24"/>
                <w:u w:val="none"/>
                <w:lang w:val="en-US" w:eastAsia="zh-CN" w:bidi="ar"/>
              </w:rPr>
              <w:t>，不完善</w:t>
            </w: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915" w:type="dxa"/>
            <w:shd w:val="clear" w:color="auto" w:fill="auto"/>
            <w:vAlign w:val="center"/>
          </w:tcPr>
          <w:p w14:paraId="5081294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4.5</w:t>
            </w:r>
          </w:p>
        </w:tc>
      </w:tr>
      <w:tr w14:paraId="3B46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shd w:val="clear" w:color="auto" w:fill="auto"/>
            <w:vAlign w:val="center"/>
          </w:tcPr>
          <w:p w14:paraId="5F14592C">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shd w:val="clear" w:color="auto" w:fill="auto"/>
            <w:vAlign w:val="center"/>
          </w:tcPr>
          <w:p w14:paraId="5A88C854">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shd w:val="clear" w:color="auto" w:fill="auto"/>
            <w:vAlign w:val="center"/>
          </w:tcPr>
          <w:p w14:paraId="035BCEA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制度执行有效性</w:t>
            </w:r>
          </w:p>
        </w:tc>
        <w:tc>
          <w:tcPr>
            <w:tcW w:w="945" w:type="dxa"/>
            <w:shd w:val="clear" w:color="auto" w:fill="auto"/>
            <w:vAlign w:val="center"/>
          </w:tcPr>
          <w:p w14:paraId="193D69C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2730" w:type="dxa"/>
            <w:shd w:val="clear" w:color="auto" w:fill="auto"/>
            <w:vAlign w:val="center"/>
          </w:tcPr>
          <w:p w14:paraId="6650A96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项目实施是否符合相关管理规定，用以反映和考核相关管理制度的有效执行情况。</w:t>
            </w:r>
          </w:p>
        </w:tc>
        <w:tc>
          <w:tcPr>
            <w:tcW w:w="2999" w:type="dxa"/>
            <w:shd w:val="clear" w:color="auto" w:fill="auto"/>
            <w:vAlign w:val="center"/>
          </w:tcPr>
          <w:p w14:paraId="43C52EBF">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①是否遵守相关法律法规和相关管理规定；</w:t>
            </w:r>
          </w:p>
          <w:p w14:paraId="08EEF80C">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②项目调整及支出调整手续是否完备；</w:t>
            </w:r>
          </w:p>
          <w:p w14:paraId="234C2A7D">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③项目合同书、验收报告、技术鉴定等资料是否齐全并及时归档；</w:t>
            </w:r>
          </w:p>
          <w:p w14:paraId="2E875C6D">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④项目实施的人员条件、场地设备、信息支撑等是否落实到位。</w:t>
            </w:r>
          </w:p>
        </w:tc>
        <w:tc>
          <w:tcPr>
            <w:tcW w:w="840" w:type="dxa"/>
            <w:shd w:val="clear" w:color="auto" w:fill="auto"/>
            <w:vAlign w:val="center"/>
          </w:tcPr>
          <w:p w14:paraId="081F22A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055" w:type="dxa"/>
            <w:shd w:val="clear" w:color="auto" w:fill="auto"/>
            <w:vAlign w:val="center"/>
          </w:tcPr>
          <w:p w14:paraId="3274CFD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少数支出不符合本项目支出范围。</w:t>
            </w:r>
          </w:p>
        </w:tc>
        <w:tc>
          <w:tcPr>
            <w:tcW w:w="915" w:type="dxa"/>
            <w:shd w:val="clear" w:color="auto" w:fill="auto"/>
            <w:vAlign w:val="center"/>
          </w:tcPr>
          <w:p w14:paraId="7C50A35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5</w:t>
            </w:r>
          </w:p>
        </w:tc>
      </w:tr>
      <w:tr w14:paraId="546B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restart"/>
            <w:shd w:val="clear" w:color="auto" w:fill="auto"/>
            <w:vAlign w:val="center"/>
          </w:tcPr>
          <w:p w14:paraId="166D19C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产出</w:t>
            </w:r>
          </w:p>
          <w:p w14:paraId="5FCE4A2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（38分）</w:t>
            </w:r>
          </w:p>
        </w:tc>
        <w:tc>
          <w:tcPr>
            <w:tcW w:w="1050" w:type="dxa"/>
            <w:vMerge w:val="restart"/>
            <w:shd w:val="clear" w:color="auto" w:fill="auto"/>
            <w:vAlign w:val="center"/>
          </w:tcPr>
          <w:p w14:paraId="0A057C5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项目产出（38分）</w:t>
            </w:r>
          </w:p>
        </w:tc>
        <w:tc>
          <w:tcPr>
            <w:tcW w:w="1020" w:type="dxa"/>
            <w:vMerge w:val="restart"/>
            <w:shd w:val="clear" w:color="auto" w:fill="auto"/>
            <w:vAlign w:val="center"/>
          </w:tcPr>
          <w:p w14:paraId="2D763F6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实际完成率</w:t>
            </w:r>
          </w:p>
        </w:tc>
        <w:tc>
          <w:tcPr>
            <w:tcW w:w="945" w:type="dxa"/>
            <w:shd w:val="clear" w:color="auto" w:fill="auto"/>
            <w:vAlign w:val="center"/>
          </w:tcPr>
          <w:p w14:paraId="6F1791B6">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统计数据、分析发布完成率</w:t>
            </w:r>
          </w:p>
        </w:tc>
        <w:tc>
          <w:tcPr>
            <w:tcW w:w="2730" w:type="dxa"/>
            <w:vMerge w:val="restart"/>
            <w:shd w:val="clear" w:color="auto" w:fill="auto"/>
            <w:vAlign w:val="center"/>
          </w:tcPr>
          <w:p w14:paraId="4FEE8FA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项目实施的实际产出数与计划产出数的比率，用以反映和考核项目产出数量目标的实现程度。</w:t>
            </w:r>
          </w:p>
        </w:tc>
        <w:tc>
          <w:tcPr>
            <w:tcW w:w="2999" w:type="dxa"/>
            <w:vMerge w:val="restart"/>
            <w:shd w:val="clear" w:color="auto" w:fill="auto"/>
            <w:vAlign w:val="center"/>
          </w:tcPr>
          <w:p w14:paraId="6B46ED8E">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实际完成率=（实际产出数/计划产出数）×100%。</w:t>
            </w:r>
          </w:p>
          <w:p w14:paraId="1E621799">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实际产出数：一定时期（本年度或项目期）内项目实际产出的产品或提供的服务数量。</w:t>
            </w:r>
          </w:p>
          <w:p w14:paraId="0465FF9A">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计划产出数：项目绩效目标确定的在一定时期（本年度或项目期）内计划产出的产品或提供的服务数量。</w:t>
            </w:r>
          </w:p>
        </w:tc>
        <w:tc>
          <w:tcPr>
            <w:tcW w:w="840" w:type="dxa"/>
            <w:shd w:val="clear" w:color="auto" w:fill="auto"/>
            <w:vAlign w:val="center"/>
          </w:tcPr>
          <w:p w14:paraId="5EC0C1A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2BBDCB9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5977E18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r>
      <w:tr w14:paraId="46627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2981DF00">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46784E5E">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778FDE18">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41ACBD4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专题统计汇报完成率</w:t>
            </w:r>
          </w:p>
        </w:tc>
        <w:tc>
          <w:tcPr>
            <w:tcW w:w="2730" w:type="dxa"/>
            <w:vMerge w:val="continue"/>
            <w:shd w:val="clear" w:color="auto" w:fill="auto"/>
            <w:vAlign w:val="center"/>
          </w:tcPr>
          <w:p w14:paraId="62EDF817">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45BF43BA">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auto"/>
            <w:vAlign w:val="center"/>
          </w:tcPr>
          <w:p w14:paraId="2B9D108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3353DA6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4DCBA58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r>
      <w:tr w14:paraId="6160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69B31B8C">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6D9C4B44">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3EE2942D">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1AF8CC6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企业“一套表”系统正常运转天数</w:t>
            </w:r>
          </w:p>
        </w:tc>
        <w:tc>
          <w:tcPr>
            <w:tcW w:w="2730" w:type="dxa"/>
            <w:vMerge w:val="continue"/>
            <w:shd w:val="clear" w:color="auto" w:fill="auto"/>
            <w:vAlign w:val="center"/>
          </w:tcPr>
          <w:p w14:paraId="00EB62A9">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29D66623">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auto"/>
            <w:vAlign w:val="center"/>
          </w:tcPr>
          <w:p w14:paraId="792CEFA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3D1A298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47A7F4C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r>
      <w:tr w14:paraId="176F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399B2BB2">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351414CE">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2E8A8739">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0D8C480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社情民意调查项目完成率</w:t>
            </w:r>
          </w:p>
        </w:tc>
        <w:tc>
          <w:tcPr>
            <w:tcW w:w="2730" w:type="dxa"/>
            <w:vMerge w:val="continue"/>
            <w:shd w:val="clear" w:color="auto" w:fill="auto"/>
            <w:vAlign w:val="center"/>
          </w:tcPr>
          <w:p w14:paraId="2ED142D6">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0C8F2811">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auto"/>
            <w:vAlign w:val="center"/>
          </w:tcPr>
          <w:p w14:paraId="625586A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51897C2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1FF8645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r>
      <w:tr w14:paraId="27B4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7D84A0B1">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02C20296">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restart"/>
            <w:shd w:val="clear" w:color="auto" w:fill="auto"/>
            <w:vAlign w:val="center"/>
          </w:tcPr>
          <w:p w14:paraId="6EA594B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质量达标率</w:t>
            </w:r>
          </w:p>
        </w:tc>
        <w:tc>
          <w:tcPr>
            <w:tcW w:w="945" w:type="dxa"/>
            <w:shd w:val="clear" w:color="auto" w:fill="auto"/>
            <w:vAlign w:val="center"/>
          </w:tcPr>
          <w:p w14:paraId="20DD7DE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统计数据、分析发布质量达标率</w:t>
            </w:r>
          </w:p>
        </w:tc>
        <w:tc>
          <w:tcPr>
            <w:tcW w:w="2730" w:type="dxa"/>
            <w:vMerge w:val="restart"/>
            <w:shd w:val="clear" w:color="auto" w:fill="auto"/>
            <w:vAlign w:val="center"/>
          </w:tcPr>
          <w:p w14:paraId="3D76999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项目完成的质量达标产出数与实际产出数的比率，用以反映和考核项目产出质量目标的实现程度。</w:t>
            </w:r>
          </w:p>
        </w:tc>
        <w:tc>
          <w:tcPr>
            <w:tcW w:w="2999" w:type="dxa"/>
            <w:vMerge w:val="restart"/>
            <w:shd w:val="clear" w:color="auto" w:fill="auto"/>
            <w:vAlign w:val="center"/>
          </w:tcPr>
          <w:p w14:paraId="21BA56E7">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质量达标率=（质量达标产出数/实际产出数）×100%。</w:t>
            </w:r>
          </w:p>
          <w:p w14:paraId="39598F5B">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Fonts w:hint="eastAsia" w:ascii="仿宋_GB2312" w:hAnsi="仿宋_GB2312" w:cs="仿宋_GB2312"/>
                <w:b w:val="0"/>
                <w:bCs w:val="0"/>
                <w:i w:val="0"/>
                <w:iCs w:val="0"/>
                <w:color w:val="000000"/>
                <w:kern w:val="0"/>
                <w:sz w:val="24"/>
                <w:szCs w:val="24"/>
                <w:u w:val="none"/>
                <w:lang w:val="en-US" w:eastAsia="zh-CN" w:bidi="ar"/>
              </w:rPr>
              <w:t>质量达标率95%以上（含95%）</w:t>
            </w:r>
            <w:r>
              <w:rPr>
                <w:rFonts w:hint="eastAsia" w:ascii="仿宋_GB2312" w:hAnsi="仿宋_GB2312" w:eastAsia="仿宋_GB2312" w:cs="仿宋_GB2312"/>
                <w:b w:val="0"/>
                <w:bCs w:val="0"/>
                <w:i w:val="0"/>
                <w:iCs w:val="0"/>
                <w:color w:val="000000"/>
                <w:kern w:val="0"/>
                <w:sz w:val="24"/>
                <w:szCs w:val="24"/>
                <w:u w:val="none"/>
                <w:lang w:val="en-US" w:eastAsia="zh-CN" w:bidi="ar"/>
              </w:rPr>
              <w:t>得满分，每下降1%扣除</w:t>
            </w:r>
            <w:r>
              <w:rPr>
                <w:rFonts w:hint="eastAsia" w:ascii="仿宋_GB2312" w:hAnsi="仿宋_GB2312" w:cs="仿宋_GB2312"/>
                <w:b w:val="0"/>
                <w:bCs w:val="0"/>
                <w:i w:val="0"/>
                <w:iCs w:val="0"/>
                <w:color w:val="000000"/>
                <w:kern w:val="0"/>
                <w:sz w:val="24"/>
                <w:szCs w:val="24"/>
                <w:u w:val="none"/>
                <w:lang w:val="en-US" w:eastAsia="zh-CN" w:bidi="ar"/>
              </w:rPr>
              <w:t>0.</w:t>
            </w:r>
            <w:r>
              <w:rPr>
                <w:rFonts w:hint="eastAsia" w:ascii="仿宋_GB2312" w:hAnsi="仿宋_GB2312" w:eastAsia="仿宋_GB2312" w:cs="仿宋_GB2312"/>
                <w:b w:val="0"/>
                <w:bCs w:val="0"/>
                <w:i w:val="0"/>
                <w:iCs w:val="0"/>
                <w:color w:val="000000"/>
                <w:kern w:val="0"/>
                <w:sz w:val="24"/>
                <w:szCs w:val="24"/>
                <w:u w:val="none"/>
                <w:lang w:val="en-US" w:eastAsia="zh-CN" w:bidi="ar"/>
              </w:rPr>
              <w:t>1分，扣完为止。</w:t>
            </w:r>
          </w:p>
        </w:tc>
        <w:tc>
          <w:tcPr>
            <w:tcW w:w="840" w:type="dxa"/>
            <w:shd w:val="clear" w:color="auto" w:fill="auto"/>
            <w:vAlign w:val="center"/>
          </w:tcPr>
          <w:p w14:paraId="374A657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38FE8C00">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08583DD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r>
      <w:tr w14:paraId="060C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136FB6E8">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6DB435D6">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2FD42F34">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13EF3C6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专题统计汇报质量达标率</w:t>
            </w:r>
          </w:p>
        </w:tc>
        <w:tc>
          <w:tcPr>
            <w:tcW w:w="2730" w:type="dxa"/>
            <w:vMerge w:val="continue"/>
            <w:shd w:val="clear" w:color="auto" w:fill="auto"/>
            <w:vAlign w:val="center"/>
          </w:tcPr>
          <w:p w14:paraId="16A6EF4E">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690C9AE1">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auto"/>
            <w:vAlign w:val="center"/>
          </w:tcPr>
          <w:p w14:paraId="68E8A30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1A708D2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392A34F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r>
      <w:tr w14:paraId="209D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1006" w:type="dxa"/>
            <w:vMerge w:val="continue"/>
            <w:shd w:val="clear" w:color="auto" w:fill="auto"/>
            <w:vAlign w:val="center"/>
          </w:tcPr>
          <w:p w14:paraId="4EABFEAE">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618F7915">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1CA27F14">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160449F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企业“一套表”系统故障率</w:t>
            </w:r>
          </w:p>
        </w:tc>
        <w:tc>
          <w:tcPr>
            <w:tcW w:w="2730" w:type="dxa"/>
            <w:vMerge w:val="continue"/>
            <w:shd w:val="clear" w:color="auto" w:fill="auto"/>
            <w:vAlign w:val="center"/>
          </w:tcPr>
          <w:p w14:paraId="71568B3C">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68BDB7D7">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auto"/>
            <w:vAlign w:val="center"/>
          </w:tcPr>
          <w:p w14:paraId="108EE1C6">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5485758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1BC9B81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r>
      <w:tr w14:paraId="1502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6" w:type="dxa"/>
            <w:vMerge w:val="continue"/>
            <w:shd w:val="clear" w:color="auto" w:fill="auto"/>
            <w:vAlign w:val="center"/>
          </w:tcPr>
          <w:p w14:paraId="16EB3F44">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4E712FC0">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3221763C">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7C9C7AB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2CC0985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0CDC316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社情民意调查完成质量达标率</w:t>
            </w:r>
          </w:p>
        </w:tc>
        <w:tc>
          <w:tcPr>
            <w:tcW w:w="2730" w:type="dxa"/>
            <w:vMerge w:val="continue"/>
            <w:shd w:val="clear" w:color="auto" w:fill="auto"/>
            <w:vAlign w:val="center"/>
          </w:tcPr>
          <w:p w14:paraId="1D95AEFB">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0470A02C">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auto"/>
            <w:vAlign w:val="center"/>
          </w:tcPr>
          <w:p w14:paraId="1132AD3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459305D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0627F0E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38E39F3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w:t>
            </w:r>
          </w:p>
        </w:tc>
        <w:tc>
          <w:tcPr>
            <w:tcW w:w="2055" w:type="dxa"/>
            <w:shd w:val="clear" w:color="auto" w:fill="auto"/>
            <w:vAlign w:val="center"/>
          </w:tcPr>
          <w:p w14:paraId="0413EA43">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sz w:val="24"/>
                <w:szCs w:val="24"/>
                <w:u w:val="none"/>
                <w:lang w:eastAsia="zh-CN"/>
              </w:rPr>
            </w:pPr>
          </w:p>
          <w:p w14:paraId="6DE0C723">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sz w:val="24"/>
                <w:szCs w:val="24"/>
                <w:u w:val="none"/>
                <w:lang w:eastAsia="zh-CN"/>
              </w:rPr>
            </w:pPr>
          </w:p>
          <w:p w14:paraId="36EAC45B">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sz w:val="24"/>
                <w:szCs w:val="24"/>
                <w:u w:val="none"/>
                <w:lang w:eastAsia="zh-CN"/>
              </w:rPr>
            </w:pPr>
          </w:p>
          <w:p w14:paraId="34CA452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eastAsia="zh-CN"/>
              </w:rPr>
            </w:pPr>
            <w:r>
              <w:rPr>
                <w:rFonts w:hint="eastAsia" w:ascii="仿宋_GB2312" w:hAnsi="仿宋_GB2312" w:cs="仿宋_GB2312"/>
                <w:b w:val="0"/>
                <w:bCs w:val="0"/>
                <w:i w:val="0"/>
                <w:iCs w:val="0"/>
                <w:color w:val="000000"/>
                <w:sz w:val="24"/>
                <w:szCs w:val="24"/>
                <w:u w:val="none"/>
                <w:lang w:eastAsia="zh-CN"/>
              </w:rPr>
              <w:t>质量达标率为</w:t>
            </w:r>
            <w:r>
              <w:rPr>
                <w:rFonts w:hint="eastAsia" w:ascii="仿宋_GB2312" w:hAnsi="仿宋_GB2312" w:cs="仿宋_GB2312"/>
                <w:b w:val="0"/>
                <w:bCs w:val="0"/>
                <w:i w:val="0"/>
                <w:iCs w:val="0"/>
                <w:color w:val="000000"/>
                <w:sz w:val="24"/>
                <w:szCs w:val="24"/>
                <w:u w:val="none"/>
                <w:lang w:val="en-US" w:eastAsia="zh-CN"/>
              </w:rPr>
              <w:t>92%</w:t>
            </w:r>
          </w:p>
        </w:tc>
        <w:tc>
          <w:tcPr>
            <w:tcW w:w="915" w:type="dxa"/>
            <w:shd w:val="clear" w:color="auto" w:fill="auto"/>
            <w:vAlign w:val="center"/>
          </w:tcPr>
          <w:p w14:paraId="4F0525D7">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sz w:val="24"/>
                <w:szCs w:val="24"/>
                <w:u w:val="none"/>
                <w:lang w:val="en-US" w:eastAsia="zh-CN"/>
              </w:rPr>
            </w:pPr>
          </w:p>
          <w:p w14:paraId="406DE4DF">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sz w:val="24"/>
                <w:szCs w:val="24"/>
                <w:u w:val="none"/>
                <w:lang w:val="en-US" w:eastAsia="zh-CN"/>
              </w:rPr>
            </w:pPr>
          </w:p>
          <w:p w14:paraId="12D6522B">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sz w:val="24"/>
                <w:szCs w:val="24"/>
                <w:u w:val="none"/>
                <w:lang w:val="en-US" w:eastAsia="zh-CN"/>
              </w:rPr>
            </w:pPr>
          </w:p>
          <w:p w14:paraId="6E04CAF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cs="仿宋_GB2312"/>
                <w:b w:val="0"/>
                <w:bCs w:val="0"/>
                <w:i w:val="0"/>
                <w:iCs w:val="0"/>
                <w:color w:val="000000"/>
                <w:sz w:val="24"/>
                <w:szCs w:val="24"/>
                <w:u w:val="none"/>
                <w:lang w:val="en-US" w:eastAsia="zh-CN"/>
              </w:rPr>
              <w:t>2.7</w:t>
            </w:r>
          </w:p>
        </w:tc>
      </w:tr>
      <w:tr w14:paraId="6728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36AA30ED">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03F92A54">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restart"/>
            <w:shd w:val="clear" w:color="auto" w:fill="auto"/>
            <w:vAlign w:val="center"/>
          </w:tcPr>
          <w:p w14:paraId="0F80830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完成及时性</w:t>
            </w:r>
          </w:p>
        </w:tc>
        <w:tc>
          <w:tcPr>
            <w:tcW w:w="945" w:type="dxa"/>
            <w:shd w:val="clear" w:color="auto" w:fill="auto"/>
            <w:vAlign w:val="center"/>
          </w:tcPr>
          <w:p w14:paraId="67C65D5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统计数据、分析发布及时率</w:t>
            </w:r>
          </w:p>
        </w:tc>
        <w:tc>
          <w:tcPr>
            <w:tcW w:w="2730" w:type="dxa"/>
            <w:shd w:val="clear" w:color="auto" w:fill="auto"/>
            <w:vAlign w:val="center"/>
          </w:tcPr>
          <w:p w14:paraId="6364D36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bookmarkStart w:id="45" w:name="OLE_LINK6"/>
            <w:r>
              <w:rPr>
                <w:rFonts w:hint="eastAsia" w:ascii="仿宋_GB2312" w:hAnsi="仿宋_GB2312" w:eastAsia="仿宋_GB2312" w:cs="仿宋_GB2312"/>
                <w:b w:val="0"/>
                <w:bCs w:val="0"/>
                <w:i w:val="0"/>
                <w:iCs w:val="0"/>
                <w:color w:val="000000"/>
                <w:kern w:val="0"/>
                <w:sz w:val="24"/>
                <w:szCs w:val="24"/>
                <w:u w:val="none"/>
                <w:lang w:val="en-US" w:eastAsia="zh-CN" w:bidi="ar"/>
              </w:rPr>
              <w:t>项目实际完成时间与计划完成时间的比较，用以反映和考核项目产出时效目标的实现程度。</w:t>
            </w:r>
            <w:bookmarkEnd w:id="45"/>
          </w:p>
        </w:tc>
        <w:tc>
          <w:tcPr>
            <w:tcW w:w="2999" w:type="dxa"/>
            <w:shd w:val="clear" w:color="auto" w:fill="auto"/>
            <w:vAlign w:val="center"/>
          </w:tcPr>
          <w:p w14:paraId="400BCCCE">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bookmarkStart w:id="46" w:name="OLE_LINK9"/>
            <w:r>
              <w:rPr>
                <w:rFonts w:hint="eastAsia" w:ascii="仿宋_GB2312" w:hAnsi="仿宋_GB2312" w:eastAsia="仿宋_GB2312" w:cs="仿宋_GB2312"/>
                <w:b w:val="0"/>
                <w:bCs w:val="0"/>
                <w:i w:val="0"/>
                <w:iCs w:val="0"/>
                <w:color w:val="000000"/>
                <w:kern w:val="0"/>
                <w:sz w:val="24"/>
                <w:szCs w:val="24"/>
                <w:u w:val="none"/>
                <w:lang w:val="en-US" w:eastAsia="zh-CN" w:bidi="ar"/>
              </w:rPr>
              <w:t>实际完成时间：完成该项目实际所耗用的时间。</w:t>
            </w:r>
          </w:p>
          <w:p w14:paraId="04288B2F">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计划完成时间：按照项目实施计划或相关规定完成该项目所需的时间。</w:t>
            </w:r>
            <w:r>
              <w:rPr>
                <w:rFonts w:hint="eastAsia" w:ascii="仿宋_GB2312" w:hAnsi="仿宋_GB2312" w:cs="仿宋_GB2312"/>
                <w:b w:val="0"/>
                <w:bCs w:val="0"/>
                <w:i w:val="0"/>
                <w:iCs w:val="0"/>
                <w:color w:val="000000"/>
                <w:kern w:val="0"/>
                <w:sz w:val="24"/>
                <w:szCs w:val="24"/>
                <w:u w:val="none"/>
                <w:lang w:val="en-US" w:eastAsia="zh-CN" w:bidi="ar"/>
              </w:rPr>
              <w:t xml:space="preserve">       </w:t>
            </w:r>
            <w:r>
              <w:rPr>
                <w:rFonts w:hint="eastAsia" w:ascii="仿宋_GB2312" w:hAnsi="仿宋_GB2312" w:cs="仿宋_GB2312"/>
                <w:b w:val="0"/>
                <w:bCs w:val="0"/>
                <w:i w:val="0"/>
                <w:iCs w:val="0"/>
                <w:color w:val="000000"/>
                <w:sz w:val="24"/>
                <w:szCs w:val="24"/>
                <w:u w:val="none"/>
                <w:lang w:eastAsia="zh-CN"/>
              </w:rPr>
              <w:t>按时完成为满分，每下降</w:t>
            </w:r>
            <w:r>
              <w:rPr>
                <w:rFonts w:hint="eastAsia" w:ascii="仿宋_GB2312" w:hAnsi="仿宋_GB2312" w:cs="仿宋_GB2312"/>
                <w:b w:val="0"/>
                <w:bCs w:val="0"/>
                <w:i w:val="0"/>
                <w:iCs w:val="0"/>
                <w:color w:val="000000"/>
                <w:sz w:val="24"/>
                <w:szCs w:val="24"/>
                <w:u w:val="none"/>
                <w:lang w:val="en-US" w:eastAsia="zh-CN"/>
              </w:rPr>
              <w:t>1%扣0.1分，扣完为止。</w:t>
            </w:r>
            <w:bookmarkEnd w:id="46"/>
          </w:p>
        </w:tc>
        <w:tc>
          <w:tcPr>
            <w:tcW w:w="840" w:type="dxa"/>
            <w:shd w:val="clear" w:color="auto" w:fill="auto"/>
            <w:vAlign w:val="center"/>
          </w:tcPr>
          <w:p w14:paraId="4D04A426">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55" w:type="dxa"/>
            <w:shd w:val="clear" w:color="auto" w:fill="auto"/>
            <w:vAlign w:val="center"/>
          </w:tcPr>
          <w:p w14:paraId="5755071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0911B04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r>
      <w:tr w14:paraId="38D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41EC81A5">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017CDB91">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38D9DFED">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6E02DDA0">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专题统计汇报提交及时率</w:t>
            </w:r>
          </w:p>
        </w:tc>
        <w:tc>
          <w:tcPr>
            <w:tcW w:w="2730" w:type="dxa"/>
            <w:vMerge w:val="restart"/>
            <w:shd w:val="clear" w:color="auto" w:fill="auto"/>
            <w:vAlign w:val="center"/>
          </w:tcPr>
          <w:p w14:paraId="1F23DEEB">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项目实际完成时间与计划完成时间的比较，用以反映和考核项目产出时效目标的实现程度。</w:t>
            </w:r>
          </w:p>
        </w:tc>
        <w:tc>
          <w:tcPr>
            <w:tcW w:w="2999" w:type="dxa"/>
            <w:vMerge w:val="restart"/>
            <w:shd w:val="clear" w:color="auto" w:fill="auto"/>
            <w:vAlign w:val="center"/>
          </w:tcPr>
          <w:p w14:paraId="7B0FB195">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实际完成时间：完成该项目实际所耗用的时间。</w:t>
            </w:r>
          </w:p>
          <w:p w14:paraId="4F22BE71">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计划完成时间：按照项目实施计划或相关规定完成该项目所需的时间。</w:t>
            </w:r>
            <w:r>
              <w:rPr>
                <w:rFonts w:hint="eastAsia" w:ascii="仿宋_GB2312" w:hAnsi="仿宋_GB2312" w:cs="仿宋_GB2312"/>
                <w:b w:val="0"/>
                <w:bCs w:val="0"/>
                <w:i w:val="0"/>
                <w:iCs w:val="0"/>
                <w:color w:val="000000"/>
                <w:kern w:val="0"/>
                <w:sz w:val="24"/>
                <w:szCs w:val="24"/>
                <w:u w:val="none"/>
                <w:lang w:val="en-US" w:eastAsia="zh-CN" w:bidi="ar"/>
              </w:rPr>
              <w:t xml:space="preserve">       </w:t>
            </w:r>
            <w:r>
              <w:rPr>
                <w:rFonts w:hint="eastAsia" w:ascii="仿宋_GB2312" w:hAnsi="仿宋_GB2312" w:cs="仿宋_GB2312"/>
                <w:b w:val="0"/>
                <w:bCs w:val="0"/>
                <w:i w:val="0"/>
                <w:iCs w:val="0"/>
                <w:color w:val="000000"/>
                <w:sz w:val="24"/>
                <w:szCs w:val="24"/>
                <w:u w:val="none"/>
                <w:lang w:eastAsia="zh-CN"/>
              </w:rPr>
              <w:t>按时完成为满分，每下降</w:t>
            </w:r>
            <w:r>
              <w:rPr>
                <w:rFonts w:hint="eastAsia" w:ascii="仿宋_GB2312" w:hAnsi="仿宋_GB2312" w:cs="仿宋_GB2312"/>
                <w:b w:val="0"/>
                <w:bCs w:val="0"/>
                <w:i w:val="0"/>
                <w:iCs w:val="0"/>
                <w:color w:val="000000"/>
                <w:sz w:val="24"/>
                <w:szCs w:val="24"/>
                <w:u w:val="none"/>
                <w:lang w:val="en-US" w:eastAsia="zh-CN"/>
              </w:rPr>
              <w:t>1%扣0.1分，扣完为止。</w:t>
            </w:r>
          </w:p>
        </w:tc>
        <w:tc>
          <w:tcPr>
            <w:tcW w:w="840" w:type="dxa"/>
            <w:shd w:val="clear" w:color="auto" w:fill="auto"/>
            <w:vAlign w:val="center"/>
          </w:tcPr>
          <w:p w14:paraId="5741792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55" w:type="dxa"/>
            <w:shd w:val="clear" w:color="auto" w:fill="auto"/>
            <w:vAlign w:val="center"/>
          </w:tcPr>
          <w:p w14:paraId="7ED5C0A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1D00347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r>
      <w:tr w14:paraId="7EAE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3437C722">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21DE97AE">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1434D4FD">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7E21183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企业“一套表”维护响应及时率</w:t>
            </w:r>
          </w:p>
        </w:tc>
        <w:tc>
          <w:tcPr>
            <w:tcW w:w="2730" w:type="dxa"/>
            <w:vMerge w:val="continue"/>
            <w:shd w:val="clear" w:color="auto" w:fill="auto"/>
            <w:vAlign w:val="center"/>
          </w:tcPr>
          <w:p w14:paraId="74B66EC6">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115E2C92">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auto"/>
            <w:vAlign w:val="center"/>
          </w:tcPr>
          <w:p w14:paraId="6AE20E8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55" w:type="dxa"/>
            <w:shd w:val="clear" w:color="auto" w:fill="auto"/>
            <w:vAlign w:val="center"/>
          </w:tcPr>
          <w:p w14:paraId="61DDCA3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7324C39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r>
      <w:tr w14:paraId="1FF0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006" w:type="dxa"/>
            <w:vMerge w:val="continue"/>
            <w:shd w:val="clear" w:color="auto" w:fill="auto"/>
            <w:vAlign w:val="center"/>
          </w:tcPr>
          <w:p w14:paraId="51079BFB">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1B8056BC">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1F035183">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4DFC870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社情民意调查完成及时率</w:t>
            </w:r>
          </w:p>
        </w:tc>
        <w:tc>
          <w:tcPr>
            <w:tcW w:w="2730" w:type="dxa"/>
            <w:shd w:val="clear" w:color="auto" w:fill="auto"/>
            <w:vAlign w:val="center"/>
          </w:tcPr>
          <w:p w14:paraId="2E64009D">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项目实际完成时间与计划完成时间的比较，用以反映和考核项目产出时效目标的实现程度。</w:t>
            </w:r>
          </w:p>
        </w:tc>
        <w:tc>
          <w:tcPr>
            <w:tcW w:w="2999" w:type="dxa"/>
            <w:shd w:val="clear" w:color="auto" w:fill="auto"/>
            <w:vAlign w:val="center"/>
          </w:tcPr>
          <w:p w14:paraId="18916403">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实际完成时间：完成该项目实际所耗用的时间。</w:t>
            </w:r>
          </w:p>
          <w:p w14:paraId="230FB54A">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lang w:eastAsia="zh-CN"/>
              </w:rPr>
            </w:pPr>
            <w:r>
              <w:rPr>
                <w:rFonts w:hint="eastAsia" w:ascii="仿宋_GB2312" w:hAnsi="仿宋_GB2312" w:eastAsia="仿宋_GB2312" w:cs="仿宋_GB2312"/>
                <w:b w:val="0"/>
                <w:bCs w:val="0"/>
                <w:i w:val="0"/>
                <w:iCs w:val="0"/>
                <w:color w:val="000000"/>
                <w:kern w:val="0"/>
                <w:sz w:val="24"/>
                <w:szCs w:val="24"/>
                <w:u w:val="none"/>
                <w:lang w:val="en-US" w:eastAsia="zh-CN" w:bidi="ar"/>
              </w:rPr>
              <w:t>计划完成时间：按照项目实施计划或相关规定完成该项目所需的时间。</w:t>
            </w:r>
            <w:r>
              <w:rPr>
                <w:rFonts w:hint="eastAsia" w:ascii="仿宋_GB2312" w:hAnsi="仿宋_GB2312" w:cs="仿宋_GB2312"/>
                <w:b w:val="0"/>
                <w:bCs w:val="0"/>
                <w:i w:val="0"/>
                <w:iCs w:val="0"/>
                <w:color w:val="000000"/>
                <w:kern w:val="0"/>
                <w:sz w:val="24"/>
                <w:szCs w:val="24"/>
                <w:u w:val="none"/>
                <w:lang w:val="en-US" w:eastAsia="zh-CN" w:bidi="ar"/>
              </w:rPr>
              <w:t xml:space="preserve">       </w:t>
            </w:r>
            <w:r>
              <w:rPr>
                <w:rFonts w:hint="eastAsia" w:ascii="仿宋_GB2312" w:hAnsi="仿宋_GB2312" w:cs="仿宋_GB2312"/>
                <w:b w:val="0"/>
                <w:bCs w:val="0"/>
                <w:i w:val="0"/>
                <w:iCs w:val="0"/>
                <w:color w:val="000000"/>
                <w:sz w:val="24"/>
                <w:szCs w:val="24"/>
                <w:u w:val="none"/>
                <w:lang w:eastAsia="zh-CN"/>
              </w:rPr>
              <w:t>按时完成为满分，每下降</w:t>
            </w:r>
            <w:r>
              <w:rPr>
                <w:rFonts w:hint="eastAsia" w:ascii="仿宋_GB2312" w:hAnsi="仿宋_GB2312" w:cs="仿宋_GB2312"/>
                <w:b w:val="0"/>
                <w:bCs w:val="0"/>
                <w:i w:val="0"/>
                <w:iCs w:val="0"/>
                <w:color w:val="000000"/>
                <w:sz w:val="24"/>
                <w:szCs w:val="24"/>
                <w:u w:val="none"/>
                <w:lang w:val="en-US" w:eastAsia="zh-CN"/>
              </w:rPr>
              <w:t>1%扣0.1分，扣完为止。</w:t>
            </w:r>
          </w:p>
        </w:tc>
        <w:tc>
          <w:tcPr>
            <w:tcW w:w="840" w:type="dxa"/>
            <w:shd w:val="clear" w:color="auto" w:fill="auto"/>
            <w:vAlign w:val="center"/>
          </w:tcPr>
          <w:p w14:paraId="5362663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w:t>
            </w:r>
          </w:p>
        </w:tc>
        <w:tc>
          <w:tcPr>
            <w:tcW w:w="2055" w:type="dxa"/>
            <w:shd w:val="clear" w:color="auto" w:fill="auto"/>
            <w:vAlign w:val="center"/>
          </w:tcPr>
          <w:p w14:paraId="155CFDC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cs="仿宋_GB2312"/>
                <w:b w:val="0"/>
                <w:bCs w:val="0"/>
                <w:i w:val="0"/>
                <w:iCs w:val="0"/>
                <w:color w:val="000000"/>
                <w:sz w:val="24"/>
                <w:szCs w:val="24"/>
                <w:u w:val="none"/>
                <w:lang w:val="en-US" w:eastAsia="zh-CN"/>
              </w:rPr>
              <w:t>完成及时率为97.5%</w:t>
            </w:r>
          </w:p>
        </w:tc>
        <w:tc>
          <w:tcPr>
            <w:tcW w:w="915" w:type="dxa"/>
            <w:shd w:val="clear" w:color="auto" w:fill="auto"/>
            <w:vAlign w:val="center"/>
          </w:tcPr>
          <w:p w14:paraId="5E4EBD1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1.75</w:t>
            </w:r>
          </w:p>
        </w:tc>
      </w:tr>
      <w:tr w14:paraId="24AF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006" w:type="dxa"/>
            <w:vMerge w:val="continue"/>
            <w:shd w:val="clear" w:color="auto" w:fill="auto"/>
            <w:vAlign w:val="center"/>
          </w:tcPr>
          <w:p w14:paraId="105F6DB9">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58F92A5F">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shd w:val="clear" w:color="auto" w:fill="auto"/>
            <w:vAlign w:val="center"/>
          </w:tcPr>
          <w:p w14:paraId="0EC6634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成本节约率</w:t>
            </w:r>
          </w:p>
        </w:tc>
        <w:tc>
          <w:tcPr>
            <w:tcW w:w="945" w:type="dxa"/>
            <w:shd w:val="clear" w:color="auto" w:fill="auto"/>
            <w:vAlign w:val="center"/>
          </w:tcPr>
          <w:p w14:paraId="12E8782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成本节约率</w:t>
            </w:r>
          </w:p>
        </w:tc>
        <w:tc>
          <w:tcPr>
            <w:tcW w:w="2730" w:type="dxa"/>
            <w:shd w:val="clear" w:color="auto" w:fill="auto"/>
            <w:vAlign w:val="center"/>
          </w:tcPr>
          <w:p w14:paraId="12979C5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对比项目实施所约定的费用与市面价格做对比，用以反映和考核项目的成本节约程度。</w:t>
            </w:r>
          </w:p>
        </w:tc>
        <w:tc>
          <w:tcPr>
            <w:tcW w:w="2999" w:type="dxa"/>
            <w:shd w:val="clear" w:color="auto" w:fill="auto"/>
            <w:vAlign w:val="center"/>
          </w:tcPr>
          <w:p w14:paraId="047E6A44">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对比项目实施所约定的费用与市面价格做对比，适中或较低则得满分，价格高于市面价格则不得分。</w:t>
            </w:r>
          </w:p>
        </w:tc>
        <w:tc>
          <w:tcPr>
            <w:tcW w:w="840" w:type="dxa"/>
            <w:shd w:val="clear" w:color="auto" w:fill="auto"/>
            <w:vAlign w:val="center"/>
          </w:tcPr>
          <w:p w14:paraId="7542490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c>
          <w:tcPr>
            <w:tcW w:w="2055" w:type="dxa"/>
            <w:shd w:val="clear" w:color="auto" w:fill="auto"/>
            <w:vAlign w:val="center"/>
          </w:tcPr>
          <w:p w14:paraId="15489055">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3D15802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w:t>
            </w:r>
          </w:p>
        </w:tc>
      </w:tr>
      <w:tr w14:paraId="61C7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restart"/>
            <w:shd w:val="clear" w:color="auto" w:fill="auto"/>
            <w:vAlign w:val="center"/>
          </w:tcPr>
          <w:p w14:paraId="3584BABC">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效益</w:t>
            </w:r>
          </w:p>
          <w:p w14:paraId="64287E8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（25</w:t>
            </w:r>
            <w:r>
              <w:rPr>
                <w:rFonts w:hint="eastAsia" w:ascii="仿宋_GB2312" w:hAnsi="仿宋_GB2312" w:cs="仿宋_GB2312"/>
                <w:b w:val="0"/>
                <w:bCs w:val="0"/>
                <w:i w:val="0"/>
                <w:iCs w:val="0"/>
                <w:color w:val="000000"/>
                <w:kern w:val="0"/>
                <w:sz w:val="24"/>
                <w:szCs w:val="24"/>
                <w:u w:val="none"/>
                <w:lang w:val="en-US" w:eastAsia="zh-CN" w:bidi="ar"/>
              </w:rPr>
              <w:t xml:space="preserve"> </w:t>
            </w:r>
            <w:r>
              <w:rPr>
                <w:rFonts w:hint="eastAsia" w:ascii="仿宋_GB2312" w:hAnsi="仿宋_GB2312" w:eastAsia="仿宋_GB2312" w:cs="仿宋_GB2312"/>
                <w:b w:val="0"/>
                <w:bCs w:val="0"/>
                <w:i w:val="0"/>
                <w:iCs w:val="0"/>
                <w:color w:val="000000"/>
                <w:kern w:val="0"/>
                <w:sz w:val="24"/>
                <w:szCs w:val="24"/>
                <w:u w:val="none"/>
                <w:lang w:val="en-US" w:eastAsia="zh-CN" w:bidi="ar"/>
              </w:rPr>
              <w:t>分）</w:t>
            </w:r>
          </w:p>
        </w:tc>
        <w:tc>
          <w:tcPr>
            <w:tcW w:w="1050" w:type="dxa"/>
            <w:vMerge w:val="restart"/>
            <w:shd w:val="clear" w:color="auto" w:fill="auto"/>
            <w:vAlign w:val="center"/>
          </w:tcPr>
          <w:p w14:paraId="1E830A0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项目效益</w:t>
            </w:r>
          </w:p>
          <w:p w14:paraId="14461DB0">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（15分）</w:t>
            </w:r>
          </w:p>
        </w:tc>
        <w:tc>
          <w:tcPr>
            <w:tcW w:w="1020" w:type="dxa"/>
            <w:vMerge w:val="restart"/>
            <w:shd w:val="clear" w:color="auto" w:fill="auto"/>
            <w:vAlign w:val="center"/>
          </w:tcPr>
          <w:p w14:paraId="22487B4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社会效益</w:t>
            </w:r>
          </w:p>
        </w:tc>
        <w:tc>
          <w:tcPr>
            <w:tcW w:w="945" w:type="dxa"/>
            <w:shd w:val="clear" w:color="auto" w:fill="auto"/>
            <w:vAlign w:val="center"/>
          </w:tcPr>
          <w:p w14:paraId="2ACB7150">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为全省及区域经济社会发展规划提供数据支撑及分析</w:t>
            </w:r>
          </w:p>
        </w:tc>
        <w:tc>
          <w:tcPr>
            <w:tcW w:w="2730" w:type="dxa"/>
            <w:vMerge w:val="restart"/>
            <w:shd w:val="clear" w:color="auto" w:fill="auto"/>
            <w:vAlign w:val="center"/>
          </w:tcPr>
          <w:p w14:paraId="799A970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项目实施对社会发展所带来的直接或间接影响。</w:t>
            </w:r>
          </w:p>
        </w:tc>
        <w:tc>
          <w:tcPr>
            <w:tcW w:w="2999" w:type="dxa"/>
            <w:vMerge w:val="restart"/>
            <w:shd w:val="clear" w:color="auto" w:fill="auto"/>
            <w:vAlign w:val="center"/>
          </w:tcPr>
          <w:p w14:paraId="7B8D6E6E">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通过实施本项目是否可以最大限度提升便民服务效能。</w:t>
            </w:r>
          </w:p>
        </w:tc>
        <w:tc>
          <w:tcPr>
            <w:tcW w:w="840" w:type="dxa"/>
            <w:shd w:val="clear" w:color="auto" w:fill="auto"/>
            <w:vAlign w:val="center"/>
          </w:tcPr>
          <w:p w14:paraId="47F31AE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55" w:type="dxa"/>
            <w:shd w:val="clear" w:color="auto" w:fill="auto"/>
            <w:vAlign w:val="center"/>
          </w:tcPr>
          <w:p w14:paraId="7A4D335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6C469299">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r>
      <w:tr w14:paraId="7B6C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629BAFA1">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202C4958">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4C63E790">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2BCB022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为群众及社会各界提供经济社会发展相关数据信息</w:t>
            </w:r>
          </w:p>
        </w:tc>
        <w:tc>
          <w:tcPr>
            <w:tcW w:w="2730" w:type="dxa"/>
            <w:vMerge w:val="continue"/>
            <w:shd w:val="clear" w:color="auto" w:fill="auto"/>
            <w:vAlign w:val="center"/>
          </w:tcPr>
          <w:p w14:paraId="7EB6BD94">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188C9455">
            <w:pPr>
              <w:spacing w:line="240" w:lineRule="auto"/>
              <w:ind w:firstLine="0" w:firstLineChars="0"/>
              <w:jc w:val="both"/>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auto"/>
            <w:vAlign w:val="center"/>
          </w:tcPr>
          <w:p w14:paraId="6C369DC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77FFAEB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4A4C7A1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481013A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p w14:paraId="59598A5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55" w:type="dxa"/>
            <w:shd w:val="clear" w:color="auto" w:fill="auto"/>
            <w:vAlign w:val="center"/>
          </w:tcPr>
          <w:p w14:paraId="0A12BB10">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cs="仿宋_GB2312"/>
                <w:b w:val="0"/>
                <w:bCs w:val="0"/>
                <w:i w:val="0"/>
                <w:iCs w:val="0"/>
                <w:color w:val="000000"/>
                <w:sz w:val="24"/>
                <w:szCs w:val="24"/>
                <w:u w:val="none"/>
                <w:lang w:val="en-US" w:eastAsia="zh-CN"/>
              </w:rPr>
              <w:t>基本满足了群众及社会各界的统计需求</w:t>
            </w:r>
          </w:p>
        </w:tc>
        <w:tc>
          <w:tcPr>
            <w:tcW w:w="915" w:type="dxa"/>
            <w:shd w:val="clear" w:color="auto" w:fill="auto"/>
            <w:vAlign w:val="center"/>
          </w:tcPr>
          <w:p w14:paraId="04D0F407">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kern w:val="0"/>
                <w:sz w:val="24"/>
                <w:szCs w:val="24"/>
                <w:u w:val="none"/>
                <w:lang w:val="en-US" w:eastAsia="zh-CN" w:bidi="ar"/>
              </w:rPr>
            </w:pPr>
          </w:p>
          <w:p w14:paraId="4B77773A">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kern w:val="0"/>
                <w:sz w:val="24"/>
                <w:szCs w:val="24"/>
                <w:u w:val="none"/>
                <w:lang w:val="en-US" w:eastAsia="zh-CN" w:bidi="ar"/>
              </w:rPr>
            </w:pPr>
          </w:p>
          <w:p w14:paraId="56F2D435">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kern w:val="0"/>
                <w:sz w:val="24"/>
                <w:szCs w:val="24"/>
                <w:u w:val="none"/>
                <w:lang w:val="en-US" w:eastAsia="zh-CN" w:bidi="ar"/>
              </w:rPr>
            </w:pPr>
          </w:p>
          <w:p w14:paraId="3CE6B7F0">
            <w:pPr>
              <w:keepNext w:val="0"/>
              <w:keepLines w:val="0"/>
              <w:widowControl/>
              <w:suppressLineNumbers w:val="0"/>
              <w:spacing w:line="240" w:lineRule="auto"/>
              <w:ind w:firstLine="0" w:firstLineChars="0"/>
              <w:jc w:val="center"/>
              <w:textAlignment w:val="center"/>
              <w:rPr>
                <w:rFonts w:hint="eastAsia" w:ascii="仿宋_GB2312" w:hAnsi="仿宋_GB2312" w:cs="仿宋_GB2312"/>
                <w:b w:val="0"/>
                <w:bCs w:val="0"/>
                <w:i w:val="0"/>
                <w:iCs w:val="0"/>
                <w:color w:val="000000"/>
                <w:kern w:val="0"/>
                <w:sz w:val="24"/>
                <w:szCs w:val="24"/>
                <w:u w:val="none"/>
                <w:lang w:val="en-US" w:eastAsia="zh-CN" w:bidi="ar"/>
              </w:rPr>
            </w:pPr>
          </w:p>
          <w:p w14:paraId="420B1A42">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4.5</w:t>
            </w:r>
          </w:p>
        </w:tc>
      </w:tr>
      <w:tr w14:paraId="2D8D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vMerge w:val="continue"/>
            <w:shd w:val="clear" w:color="auto" w:fill="auto"/>
            <w:vAlign w:val="center"/>
          </w:tcPr>
          <w:p w14:paraId="3E481AF2">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21635A59">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shd w:val="clear" w:color="auto" w:fill="auto"/>
            <w:vAlign w:val="center"/>
          </w:tcPr>
          <w:p w14:paraId="100BA0A6">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可持续影响</w:t>
            </w:r>
          </w:p>
        </w:tc>
        <w:tc>
          <w:tcPr>
            <w:tcW w:w="945" w:type="dxa"/>
            <w:shd w:val="clear" w:color="auto" w:fill="auto"/>
            <w:vAlign w:val="center"/>
          </w:tcPr>
          <w:p w14:paraId="4C65C4B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统计业务工作可持续性</w:t>
            </w:r>
          </w:p>
        </w:tc>
        <w:tc>
          <w:tcPr>
            <w:tcW w:w="2730" w:type="dxa"/>
            <w:shd w:val="clear" w:color="auto" w:fill="auto"/>
            <w:vAlign w:val="center"/>
          </w:tcPr>
          <w:p w14:paraId="29C89DE4">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项目实施对可持续性所带来的直接或间接影响。</w:t>
            </w:r>
          </w:p>
        </w:tc>
        <w:tc>
          <w:tcPr>
            <w:tcW w:w="2999" w:type="dxa"/>
            <w:shd w:val="clear" w:color="auto" w:fill="auto"/>
            <w:vAlign w:val="center"/>
          </w:tcPr>
          <w:p w14:paraId="05336294">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项目实施所产生的可持续影响。</w:t>
            </w:r>
          </w:p>
        </w:tc>
        <w:tc>
          <w:tcPr>
            <w:tcW w:w="840" w:type="dxa"/>
            <w:shd w:val="clear" w:color="auto" w:fill="auto"/>
            <w:vAlign w:val="center"/>
          </w:tcPr>
          <w:p w14:paraId="4065ED2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55" w:type="dxa"/>
            <w:shd w:val="clear" w:color="auto" w:fill="auto"/>
            <w:vAlign w:val="center"/>
          </w:tcPr>
          <w:p w14:paraId="14C6FF6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p>
        </w:tc>
        <w:tc>
          <w:tcPr>
            <w:tcW w:w="915" w:type="dxa"/>
            <w:shd w:val="clear" w:color="auto" w:fill="auto"/>
            <w:vAlign w:val="center"/>
          </w:tcPr>
          <w:p w14:paraId="5BCBE58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r>
      <w:tr w14:paraId="2DC5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1006" w:type="dxa"/>
            <w:vMerge w:val="continue"/>
            <w:shd w:val="clear" w:color="auto" w:fill="auto"/>
            <w:vAlign w:val="center"/>
          </w:tcPr>
          <w:p w14:paraId="647531DA">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restart"/>
            <w:shd w:val="clear" w:color="auto" w:fill="auto"/>
            <w:vAlign w:val="center"/>
          </w:tcPr>
          <w:p w14:paraId="1C376561">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满意度（10分）</w:t>
            </w:r>
          </w:p>
        </w:tc>
        <w:tc>
          <w:tcPr>
            <w:tcW w:w="1020" w:type="dxa"/>
            <w:vMerge w:val="restart"/>
            <w:shd w:val="clear" w:color="auto" w:fill="auto"/>
            <w:vAlign w:val="center"/>
          </w:tcPr>
          <w:p w14:paraId="327EFD8B">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项目满意度</w:t>
            </w:r>
          </w:p>
        </w:tc>
        <w:tc>
          <w:tcPr>
            <w:tcW w:w="945" w:type="dxa"/>
            <w:shd w:val="clear" w:color="auto" w:fill="auto"/>
            <w:vAlign w:val="center"/>
          </w:tcPr>
          <w:p w14:paraId="2085249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政府相关使用者满意度</w:t>
            </w:r>
          </w:p>
        </w:tc>
        <w:tc>
          <w:tcPr>
            <w:tcW w:w="2730" w:type="dxa"/>
            <w:vMerge w:val="restart"/>
            <w:shd w:val="clear" w:color="auto" w:fill="auto"/>
            <w:vAlign w:val="center"/>
          </w:tcPr>
          <w:p w14:paraId="2D6F43BD">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社会公众或部门（单位）的服务对象对部门履职效果的满意程度。</w:t>
            </w:r>
          </w:p>
        </w:tc>
        <w:tc>
          <w:tcPr>
            <w:tcW w:w="2999" w:type="dxa"/>
            <w:vMerge w:val="restart"/>
            <w:shd w:val="clear" w:color="auto" w:fill="auto"/>
            <w:vAlign w:val="center"/>
          </w:tcPr>
          <w:p w14:paraId="22696972">
            <w:pPr>
              <w:keepNext w:val="0"/>
              <w:keepLines w:val="0"/>
              <w:widowControl/>
              <w:suppressLineNumbers w:val="0"/>
              <w:spacing w:line="240" w:lineRule="auto"/>
              <w:ind w:firstLine="0" w:firstLineChars="0"/>
              <w:jc w:val="both"/>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满意度Y=（非常满意数*100%+比较满意数*80%+一般满意数*60%+不满意*0%）/调查问卷回收总数*100%。满意度9</w:t>
            </w:r>
            <w:r>
              <w:rPr>
                <w:rFonts w:hint="eastAsia" w:ascii="仿宋_GB2312" w:hAnsi="仿宋_GB2312" w:cs="仿宋_GB2312"/>
                <w:b w:val="0"/>
                <w:bCs w:val="0"/>
                <w:i w:val="0"/>
                <w:iCs w:val="0"/>
                <w:color w:val="000000"/>
                <w:kern w:val="0"/>
                <w:sz w:val="24"/>
                <w:szCs w:val="24"/>
                <w:u w:val="none"/>
                <w:lang w:val="en-US" w:eastAsia="zh-CN" w:bidi="ar"/>
              </w:rPr>
              <w:t>5</w:t>
            </w:r>
            <w:r>
              <w:rPr>
                <w:rFonts w:hint="eastAsia" w:ascii="仿宋_GB2312" w:hAnsi="仿宋_GB2312" w:eastAsia="仿宋_GB2312" w:cs="仿宋_GB2312"/>
                <w:b w:val="0"/>
                <w:bCs w:val="0"/>
                <w:i w:val="0"/>
                <w:iCs w:val="0"/>
                <w:color w:val="000000"/>
                <w:kern w:val="0"/>
                <w:sz w:val="24"/>
                <w:szCs w:val="24"/>
                <w:u w:val="none"/>
                <w:lang w:val="en-US" w:eastAsia="zh-CN" w:bidi="ar"/>
              </w:rPr>
              <w:t>%以上</w:t>
            </w:r>
            <w:bookmarkStart w:id="47" w:name="OLE_LINK3"/>
            <w:r>
              <w:rPr>
                <w:rFonts w:hint="eastAsia" w:ascii="仿宋_GB2312" w:hAnsi="仿宋_GB2312" w:eastAsia="仿宋_GB2312" w:cs="仿宋_GB2312"/>
                <w:b w:val="0"/>
                <w:bCs w:val="0"/>
                <w:i w:val="0"/>
                <w:iCs w:val="0"/>
                <w:color w:val="000000"/>
                <w:kern w:val="0"/>
                <w:sz w:val="24"/>
                <w:szCs w:val="24"/>
                <w:u w:val="none"/>
                <w:lang w:val="en-US" w:eastAsia="zh-CN" w:bidi="ar"/>
              </w:rPr>
              <w:t>（含</w:t>
            </w:r>
            <w:r>
              <w:rPr>
                <w:rFonts w:hint="eastAsia" w:ascii="仿宋_GB2312" w:hAnsi="仿宋_GB2312" w:cs="仿宋_GB2312"/>
                <w:b w:val="0"/>
                <w:bCs w:val="0"/>
                <w:i w:val="0"/>
                <w:iCs w:val="0"/>
                <w:color w:val="000000"/>
                <w:kern w:val="0"/>
                <w:sz w:val="24"/>
                <w:szCs w:val="24"/>
                <w:u w:val="none"/>
                <w:lang w:val="en-US" w:eastAsia="zh-CN" w:bidi="ar"/>
              </w:rPr>
              <w:t>95</w:t>
            </w:r>
            <w:r>
              <w:rPr>
                <w:rFonts w:hint="eastAsia" w:ascii="仿宋_GB2312" w:hAnsi="仿宋_GB2312" w:eastAsia="仿宋_GB2312" w:cs="仿宋_GB2312"/>
                <w:b w:val="0"/>
                <w:bCs w:val="0"/>
                <w:i w:val="0"/>
                <w:iCs w:val="0"/>
                <w:color w:val="000000"/>
                <w:kern w:val="0"/>
                <w:sz w:val="24"/>
                <w:szCs w:val="24"/>
                <w:u w:val="none"/>
                <w:lang w:val="en-US" w:eastAsia="zh-CN" w:bidi="ar"/>
              </w:rPr>
              <w:t>%）</w:t>
            </w:r>
            <w:bookmarkStart w:id="48" w:name="OLE_LINK4"/>
            <w:r>
              <w:rPr>
                <w:rFonts w:hint="eastAsia" w:ascii="仿宋_GB2312" w:hAnsi="仿宋_GB2312" w:eastAsia="仿宋_GB2312" w:cs="仿宋_GB2312"/>
                <w:b w:val="0"/>
                <w:bCs w:val="0"/>
                <w:i w:val="0"/>
                <w:iCs w:val="0"/>
                <w:color w:val="000000"/>
                <w:kern w:val="0"/>
                <w:sz w:val="24"/>
                <w:szCs w:val="24"/>
                <w:u w:val="none"/>
                <w:lang w:val="en-US" w:eastAsia="zh-CN" w:bidi="ar"/>
              </w:rPr>
              <w:t>得满分，每下降1%扣除</w:t>
            </w:r>
            <w:r>
              <w:rPr>
                <w:rFonts w:hint="eastAsia" w:ascii="仿宋_GB2312" w:hAnsi="仿宋_GB2312" w:cs="仿宋_GB2312"/>
                <w:b w:val="0"/>
                <w:bCs w:val="0"/>
                <w:i w:val="0"/>
                <w:iCs w:val="0"/>
                <w:color w:val="000000"/>
                <w:kern w:val="0"/>
                <w:sz w:val="24"/>
                <w:szCs w:val="24"/>
                <w:u w:val="none"/>
                <w:lang w:val="en-US" w:eastAsia="zh-CN" w:bidi="ar"/>
              </w:rPr>
              <w:t>0.</w:t>
            </w:r>
            <w:r>
              <w:rPr>
                <w:rFonts w:hint="eastAsia" w:ascii="仿宋_GB2312" w:hAnsi="仿宋_GB2312" w:eastAsia="仿宋_GB2312" w:cs="仿宋_GB2312"/>
                <w:b w:val="0"/>
                <w:bCs w:val="0"/>
                <w:i w:val="0"/>
                <w:iCs w:val="0"/>
                <w:color w:val="000000"/>
                <w:kern w:val="0"/>
                <w:sz w:val="24"/>
                <w:szCs w:val="24"/>
                <w:u w:val="none"/>
                <w:lang w:val="en-US" w:eastAsia="zh-CN" w:bidi="ar"/>
              </w:rPr>
              <w:t>1</w:t>
            </w:r>
            <w:bookmarkEnd w:id="48"/>
            <w:bookmarkStart w:id="49" w:name="OLE_LINK5"/>
            <w:r>
              <w:rPr>
                <w:rFonts w:hint="eastAsia" w:ascii="仿宋_GB2312" w:hAnsi="仿宋_GB2312" w:eastAsia="仿宋_GB2312" w:cs="仿宋_GB2312"/>
                <w:b w:val="0"/>
                <w:bCs w:val="0"/>
                <w:i w:val="0"/>
                <w:iCs w:val="0"/>
                <w:color w:val="000000"/>
                <w:kern w:val="0"/>
                <w:sz w:val="24"/>
                <w:szCs w:val="24"/>
                <w:u w:val="none"/>
                <w:lang w:val="en-US" w:eastAsia="zh-CN" w:bidi="ar"/>
              </w:rPr>
              <w:t>分，扣完为止。</w:t>
            </w:r>
            <w:bookmarkEnd w:id="47"/>
            <w:bookmarkEnd w:id="49"/>
          </w:p>
        </w:tc>
        <w:tc>
          <w:tcPr>
            <w:tcW w:w="840" w:type="dxa"/>
            <w:shd w:val="clear" w:color="auto" w:fill="auto"/>
            <w:vAlign w:val="center"/>
          </w:tcPr>
          <w:p w14:paraId="1DF9191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55" w:type="dxa"/>
            <w:shd w:val="clear" w:color="auto" w:fill="auto"/>
            <w:vAlign w:val="center"/>
          </w:tcPr>
          <w:p w14:paraId="20510863">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市委市政府对数据统计汇报材料及分析满意度为</w:t>
            </w:r>
            <w:r>
              <w:rPr>
                <w:rFonts w:hint="eastAsia" w:ascii="仿宋_GB2312" w:hAnsi="仿宋_GB2312" w:cs="仿宋_GB2312"/>
                <w:b w:val="0"/>
                <w:bCs w:val="0"/>
                <w:i w:val="0"/>
                <w:iCs w:val="0"/>
                <w:color w:val="000000"/>
                <w:kern w:val="0"/>
                <w:sz w:val="24"/>
                <w:szCs w:val="24"/>
                <w:u w:val="none"/>
                <w:lang w:val="en-US" w:eastAsia="zh-CN" w:bidi="ar"/>
              </w:rPr>
              <w:t>95.5</w:t>
            </w:r>
            <w:r>
              <w:rPr>
                <w:rFonts w:hint="eastAsia" w:ascii="仿宋_GB2312" w:hAnsi="仿宋_GB2312" w:eastAsia="仿宋_GB2312" w:cs="仿宋_GB2312"/>
                <w:b w:val="0"/>
                <w:bCs w:val="0"/>
                <w:i w:val="0"/>
                <w:iCs w:val="0"/>
                <w:color w:val="000000"/>
                <w:kern w:val="0"/>
                <w:sz w:val="24"/>
                <w:szCs w:val="24"/>
                <w:u w:val="none"/>
                <w:lang w:val="en-US" w:eastAsia="zh-CN" w:bidi="ar"/>
              </w:rPr>
              <w:t>%,其他部门对统计数据满意度为</w:t>
            </w:r>
            <w:r>
              <w:rPr>
                <w:rFonts w:hint="eastAsia" w:ascii="仿宋_GB2312" w:hAnsi="仿宋_GB2312" w:cs="仿宋_GB2312"/>
                <w:b w:val="0"/>
                <w:bCs w:val="0"/>
                <w:i w:val="0"/>
                <w:iCs w:val="0"/>
                <w:color w:val="000000"/>
                <w:kern w:val="0"/>
                <w:sz w:val="24"/>
                <w:szCs w:val="24"/>
                <w:u w:val="none"/>
                <w:lang w:val="en-US" w:eastAsia="zh-CN" w:bidi="ar"/>
              </w:rPr>
              <w:t>92</w:t>
            </w: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915" w:type="dxa"/>
            <w:shd w:val="clear" w:color="auto" w:fill="auto"/>
            <w:vAlign w:val="center"/>
          </w:tcPr>
          <w:p w14:paraId="0BB556A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cs="仿宋_GB2312"/>
                <w:b w:val="0"/>
                <w:bCs w:val="0"/>
                <w:i w:val="0"/>
                <w:iCs w:val="0"/>
                <w:color w:val="000000"/>
                <w:kern w:val="0"/>
                <w:sz w:val="24"/>
                <w:szCs w:val="24"/>
                <w:u w:val="none"/>
                <w:lang w:val="en-US" w:eastAsia="zh-CN" w:bidi="ar"/>
              </w:rPr>
              <w:t>4.7</w:t>
            </w:r>
          </w:p>
        </w:tc>
      </w:tr>
      <w:tr w14:paraId="6003D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6" w:type="dxa"/>
            <w:shd w:val="clear" w:color="auto" w:fill="FFFFFF"/>
            <w:vAlign w:val="center"/>
          </w:tcPr>
          <w:p w14:paraId="6E2F0B35">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50" w:type="dxa"/>
            <w:vMerge w:val="continue"/>
            <w:shd w:val="clear" w:color="auto" w:fill="auto"/>
            <w:vAlign w:val="center"/>
          </w:tcPr>
          <w:p w14:paraId="774213A6">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1020" w:type="dxa"/>
            <w:vMerge w:val="continue"/>
            <w:shd w:val="clear" w:color="auto" w:fill="auto"/>
            <w:vAlign w:val="center"/>
          </w:tcPr>
          <w:p w14:paraId="365FB6BC">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945" w:type="dxa"/>
            <w:shd w:val="clear" w:color="auto" w:fill="auto"/>
            <w:vAlign w:val="center"/>
          </w:tcPr>
          <w:p w14:paraId="011CB546">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社会各界相关使用者满意度</w:t>
            </w:r>
          </w:p>
        </w:tc>
        <w:tc>
          <w:tcPr>
            <w:tcW w:w="2730" w:type="dxa"/>
            <w:vMerge w:val="continue"/>
            <w:shd w:val="clear" w:color="auto" w:fill="auto"/>
            <w:vAlign w:val="center"/>
          </w:tcPr>
          <w:p w14:paraId="22369029">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2999" w:type="dxa"/>
            <w:vMerge w:val="continue"/>
            <w:shd w:val="clear" w:color="auto" w:fill="auto"/>
            <w:vAlign w:val="center"/>
          </w:tcPr>
          <w:p w14:paraId="7819D9BA">
            <w:pPr>
              <w:spacing w:line="240" w:lineRule="auto"/>
              <w:ind w:firstLine="0" w:firstLineChars="0"/>
              <w:jc w:val="center"/>
              <w:rPr>
                <w:rFonts w:hint="eastAsia" w:ascii="仿宋_GB2312" w:hAnsi="仿宋_GB2312" w:eastAsia="仿宋_GB2312" w:cs="仿宋_GB2312"/>
                <w:b w:val="0"/>
                <w:bCs w:val="0"/>
                <w:i w:val="0"/>
                <w:iCs w:val="0"/>
                <w:color w:val="000000"/>
                <w:sz w:val="24"/>
                <w:szCs w:val="24"/>
                <w:u w:val="none"/>
              </w:rPr>
            </w:pPr>
          </w:p>
        </w:tc>
        <w:tc>
          <w:tcPr>
            <w:tcW w:w="840" w:type="dxa"/>
            <w:shd w:val="clear" w:color="auto" w:fill="FFFFFF"/>
            <w:vAlign w:val="center"/>
          </w:tcPr>
          <w:p w14:paraId="5F8934BA">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w:t>
            </w:r>
          </w:p>
        </w:tc>
        <w:tc>
          <w:tcPr>
            <w:tcW w:w="2055" w:type="dxa"/>
            <w:shd w:val="clear" w:color="auto" w:fill="auto"/>
            <w:vAlign w:val="center"/>
          </w:tcPr>
          <w:p w14:paraId="03691F57">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社会各界对公布的统计数据及解读满意度为</w:t>
            </w:r>
            <w:r>
              <w:rPr>
                <w:rFonts w:hint="eastAsia" w:ascii="仿宋_GB2312" w:hAnsi="仿宋_GB2312" w:cs="仿宋_GB2312"/>
                <w:b w:val="0"/>
                <w:bCs w:val="0"/>
                <w:i w:val="0"/>
                <w:iCs w:val="0"/>
                <w:color w:val="000000"/>
                <w:kern w:val="0"/>
                <w:sz w:val="24"/>
                <w:szCs w:val="24"/>
                <w:u w:val="none"/>
                <w:lang w:val="en-US" w:eastAsia="zh-CN" w:bidi="ar"/>
              </w:rPr>
              <w:t>92.5</w:t>
            </w:r>
            <w:r>
              <w:rPr>
                <w:rFonts w:hint="eastAsia" w:ascii="仿宋_GB2312" w:hAnsi="仿宋_GB2312" w:eastAsia="仿宋_GB2312" w:cs="仿宋_GB2312"/>
                <w:b w:val="0"/>
                <w:bCs w:val="0"/>
                <w:i w:val="0"/>
                <w:iCs w:val="0"/>
                <w:color w:val="000000"/>
                <w:kern w:val="0"/>
                <w:sz w:val="24"/>
                <w:szCs w:val="24"/>
                <w:u w:val="none"/>
                <w:lang w:val="en-US" w:eastAsia="zh-CN" w:bidi="ar"/>
              </w:rPr>
              <w:t>%</w:t>
            </w:r>
          </w:p>
        </w:tc>
        <w:tc>
          <w:tcPr>
            <w:tcW w:w="915" w:type="dxa"/>
            <w:shd w:val="clear" w:color="auto" w:fill="auto"/>
            <w:vAlign w:val="center"/>
          </w:tcPr>
          <w:p w14:paraId="4A3E0778">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4"/>
                <w:szCs w:val="24"/>
                <w:u w:val="none"/>
                <w:lang w:val="en-US" w:eastAsia="zh-CN"/>
              </w:rPr>
            </w:pPr>
            <w:r>
              <w:rPr>
                <w:rFonts w:hint="eastAsia" w:ascii="仿宋_GB2312" w:hAnsi="仿宋_GB2312" w:cs="仿宋_GB2312"/>
                <w:b w:val="0"/>
                <w:bCs w:val="0"/>
                <w:i w:val="0"/>
                <w:iCs w:val="0"/>
                <w:color w:val="000000"/>
                <w:sz w:val="24"/>
                <w:szCs w:val="24"/>
                <w:u w:val="none"/>
                <w:lang w:val="en-US" w:eastAsia="zh-CN"/>
              </w:rPr>
              <w:t>4.75</w:t>
            </w:r>
          </w:p>
        </w:tc>
      </w:tr>
      <w:tr w14:paraId="0CEE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50" w:type="dxa"/>
            <w:gridSpan w:val="6"/>
            <w:shd w:val="clear" w:color="auto" w:fill="FFFFFF"/>
            <w:vAlign w:val="center"/>
          </w:tcPr>
          <w:p w14:paraId="3C3640DF">
            <w:pPr>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840" w:type="dxa"/>
            <w:shd w:val="clear" w:color="auto" w:fill="FFFFFF"/>
            <w:vAlign w:val="center"/>
          </w:tcPr>
          <w:p w14:paraId="28C8717E">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100</w:t>
            </w:r>
          </w:p>
        </w:tc>
        <w:tc>
          <w:tcPr>
            <w:tcW w:w="2055" w:type="dxa"/>
            <w:shd w:val="clear" w:color="auto" w:fill="auto"/>
            <w:vAlign w:val="center"/>
          </w:tcPr>
          <w:p w14:paraId="2AEB1302">
            <w:pPr>
              <w:spacing w:line="240" w:lineRule="auto"/>
              <w:ind w:firstLine="0" w:firstLineChars="0"/>
              <w:jc w:val="center"/>
              <w:rPr>
                <w:rFonts w:hint="eastAsia" w:ascii="仿宋_GB2312" w:hAnsi="仿宋_GB2312" w:eastAsia="仿宋_GB2312" w:cs="仿宋_GB2312"/>
                <w:b/>
                <w:bCs/>
                <w:i w:val="0"/>
                <w:iCs w:val="0"/>
                <w:color w:val="000000"/>
                <w:sz w:val="24"/>
                <w:szCs w:val="24"/>
                <w:u w:val="none"/>
              </w:rPr>
            </w:pPr>
          </w:p>
        </w:tc>
        <w:tc>
          <w:tcPr>
            <w:tcW w:w="915" w:type="dxa"/>
            <w:shd w:val="clear" w:color="auto" w:fill="auto"/>
            <w:vAlign w:val="center"/>
          </w:tcPr>
          <w:p w14:paraId="27826E4F">
            <w:pPr>
              <w:keepNext w:val="0"/>
              <w:keepLines w:val="0"/>
              <w:widowControl/>
              <w:suppressLineNumbers w:val="0"/>
              <w:spacing w:line="24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cs="仿宋_GB2312"/>
                <w:b/>
                <w:bCs/>
                <w:i w:val="0"/>
                <w:iCs w:val="0"/>
                <w:color w:val="000000"/>
                <w:kern w:val="0"/>
                <w:sz w:val="24"/>
                <w:szCs w:val="24"/>
                <w:u w:val="none"/>
                <w:lang w:val="en-US" w:eastAsia="zh-CN" w:bidi="ar"/>
              </w:rPr>
              <w:t>90.6</w:t>
            </w:r>
            <w:r>
              <w:rPr>
                <w:rFonts w:hint="eastAsia" w:ascii="仿宋_GB2312" w:hAnsi="仿宋_GB2312" w:eastAsia="仿宋_GB2312" w:cs="仿宋_GB2312"/>
                <w:b/>
                <w:bCs/>
                <w:i w:val="0"/>
                <w:iCs w:val="0"/>
                <w:color w:val="000000"/>
                <w:kern w:val="0"/>
                <w:sz w:val="24"/>
                <w:szCs w:val="24"/>
                <w:u w:val="none"/>
                <w:lang w:val="en-US" w:eastAsia="zh-CN" w:bidi="ar"/>
              </w:rPr>
              <w:t>6</w:t>
            </w:r>
          </w:p>
        </w:tc>
      </w:tr>
    </w:tbl>
    <w:p w14:paraId="4F2F71B4">
      <w:pPr>
        <w:pStyle w:val="4"/>
        <w:ind w:left="0" w:leftChars="0" w:firstLine="0" w:firstLineChars="0"/>
        <w:jc w:val="both"/>
        <w:outlineLvl w:val="9"/>
        <w:rPr>
          <w:rFonts w:hint="eastAsia"/>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2000019F" w:csb1="4F01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B389">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B3E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A8C3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BA8C3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TNhNTViMzllYzY0YzVkZTFlN2E4ZmY0N2VmNmMifQ=="/>
  </w:docVars>
  <w:rsids>
    <w:rsidRoot w:val="379D058D"/>
    <w:rsid w:val="019404F8"/>
    <w:rsid w:val="01FB23CB"/>
    <w:rsid w:val="02696283"/>
    <w:rsid w:val="043869C9"/>
    <w:rsid w:val="057271A5"/>
    <w:rsid w:val="06345BBB"/>
    <w:rsid w:val="06473986"/>
    <w:rsid w:val="069D7EE6"/>
    <w:rsid w:val="07D53F15"/>
    <w:rsid w:val="082038E6"/>
    <w:rsid w:val="0B005F1C"/>
    <w:rsid w:val="0D676AC1"/>
    <w:rsid w:val="0D6E9D52"/>
    <w:rsid w:val="0E8D3EEF"/>
    <w:rsid w:val="0F3E2EAB"/>
    <w:rsid w:val="0FBDAFD8"/>
    <w:rsid w:val="11614977"/>
    <w:rsid w:val="11DC67DA"/>
    <w:rsid w:val="122946DB"/>
    <w:rsid w:val="13787880"/>
    <w:rsid w:val="13ED4F61"/>
    <w:rsid w:val="14AC43F9"/>
    <w:rsid w:val="1635647F"/>
    <w:rsid w:val="163B6F98"/>
    <w:rsid w:val="17232712"/>
    <w:rsid w:val="175E71E6"/>
    <w:rsid w:val="18B84CDB"/>
    <w:rsid w:val="195F2281"/>
    <w:rsid w:val="1A920163"/>
    <w:rsid w:val="1AF5354A"/>
    <w:rsid w:val="1BFFCA67"/>
    <w:rsid w:val="1C646D71"/>
    <w:rsid w:val="1F071C53"/>
    <w:rsid w:val="1F6B6566"/>
    <w:rsid w:val="1F707B20"/>
    <w:rsid w:val="204506EE"/>
    <w:rsid w:val="215025B4"/>
    <w:rsid w:val="21A57AC0"/>
    <w:rsid w:val="231E0929"/>
    <w:rsid w:val="23422DE1"/>
    <w:rsid w:val="24454B90"/>
    <w:rsid w:val="24E92D53"/>
    <w:rsid w:val="25AF6361"/>
    <w:rsid w:val="25BD4D94"/>
    <w:rsid w:val="263461C9"/>
    <w:rsid w:val="26E63E5F"/>
    <w:rsid w:val="26ED6772"/>
    <w:rsid w:val="27305558"/>
    <w:rsid w:val="2733C225"/>
    <w:rsid w:val="28AF344A"/>
    <w:rsid w:val="28DF6BDE"/>
    <w:rsid w:val="2BED5528"/>
    <w:rsid w:val="2C0B3434"/>
    <w:rsid w:val="2C693C4F"/>
    <w:rsid w:val="2C8D37A6"/>
    <w:rsid w:val="2DCF9B62"/>
    <w:rsid w:val="2DF351F4"/>
    <w:rsid w:val="2E330CEB"/>
    <w:rsid w:val="2EDFD3F1"/>
    <w:rsid w:val="2F194A5B"/>
    <w:rsid w:val="2F511D30"/>
    <w:rsid w:val="2F6EE195"/>
    <w:rsid w:val="2F7FD6B3"/>
    <w:rsid w:val="2FFF4C81"/>
    <w:rsid w:val="2FFFC4D7"/>
    <w:rsid w:val="303526E3"/>
    <w:rsid w:val="30525991"/>
    <w:rsid w:val="30E468C3"/>
    <w:rsid w:val="311E5564"/>
    <w:rsid w:val="31C16068"/>
    <w:rsid w:val="32627887"/>
    <w:rsid w:val="33843993"/>
    <w:rsid w:val="342C6BA9"/>
    <w:rsid w:val="347A65C5"/>
    <w:rsid w:val="34B34216"/>
    <w:rsid w:val="34BD6F13"/>
    <w:rsid w:val="355B742B"/>
    <w:rsid w:val="35670D6E"/>
    <w:rsid w:val="35CE9915"/>
    <w:rsid w:val="35DC0B70"/>
    <w:rsid w:val="35FF3CDC"/>
    <w:rsid w:val="36A622B7"/>
    <w:rsid w:val="3756124C"/>
    <w:rsid w:val="376260A7"/>
    <w:rsid w:val="377E4518"/>
    <w:rsid w:val="379D058D"/>
    <w:rsid w:val="37CA51B1"/>
    <w:rsid w:val="37F5B424"/>
    <w:rsid w:val="37FF917F"/>
    <w:rsid w:val="37FFC689"/>
    <w:rsid w:val="383407C4"/>
    <w:rsid w:val="396C0D4E"/>
    <w:rsid w:val="39B54A81"/>
    <w:rsid w:val="39D7370A"/>
    <w:rsid w:val="39F01D9F"/>
    <w:rsid w:val="3B4A33FA"/>
    <w:rsid w:val="3B7F4175"/>
    <w:rsid w:val="3BF43D3B"/>
    <w:rsid w:val="3BFC52F7"/>
    <w:rsid w:val="3D66951C"/>
    <w:rsid w:val="3D7B8D88"/>
    <w:rsid w:val="3F4E5A4B"/>
    <w:rsid w:val="3F9B84E5"/>
    <w:rsid w:val="3FBE42C0"/>
    <w:rsid w:val="3FDE95F5"/>
    <w:rsid w:val="3FDF64B0"/>
    <w:rsid w:val="3FE18F6F"/>
    <w:rsid w:val="3FF7EBB8"/>
    <w:rsid w:val="40A4535A"/>
    <w:rsid w:val="42795B9B"/>
    <w:rsid w:val="45272EF7"/>
    <w:rsid w:val="454514DF"/>
    <w:rsid w:val="47C679D6"/>
    <w:rsid w:val="490A1564"/>
    <w:rsid w:val="49834A60"/>
    <w:rsid w:val="4A287B14"/>
    <w:rsid w:val="4B571EFC"/>
    <w:rsid w:val="4BE00242"/>
    <w:rsid w:val="4BE5119F"/>
    <w:rsid w:val="4D463256"/>
    <w:rsid w:val="4DAE3B7E"/>
    <w:rsid w:val="4DB35906"/>
    <w:rsid w:val="4DC57256"/>
    <w:rsid w:val="4DD85A0E"/>
    <w:rsid w:val="4E025731"/>
    <w:rsid w:val="4E760336"/>
    <w:rsid w:val="4F720E12"/>
    <w:rsid w:val="4FABA062"/>
    <w:rsid w:val="536611E1"/>
    <w:rsid w:val="54684D4C"/>
    <w:rsid w:val="54A64443"/>
    <w:rsid w:val="55496DF8"/>
    <w:rsid w:val="55FB2C51"/>
    <w:rsid w:val="569441BE"/>
    <w:rsid w:val="56C553EB"/>
    <w:rsid w:val="573826DD"/>
    <w:rsid w:val="57776F9F"/>
    <w:rsid w:val="57CFD949"/>
    <w:rsid w:val="57EE56DB"/>
    <w:rsid w:val="583E6059"/>
    <w:rsid w:val="58B96B20"/>
    <w:rsid w:val="58F43DAF"/>
    <w:rsid w:val="593660E9"/>
    <w:rsid w:val="5A5663FD"/>
    <w:rsid w:val="5A5D71D1"/>
    <w:rsid w:val="5ABBCD5D"/>
    <w:rsid w:val="5B1B13A6"/>
    <w:rsid w:val="5B6C4642"/>
    <w:rsid w:val="5B760E9B"/>
    <w:rsid w:val="5BBDC9EF"/>
    <w:rsid w:val="5BEFACBA"/>
    <w:rsid w:val="5E0861AA"/>
    <w:rsid w:val="5EEA5910"/>
    <w:rsid w:val="5EEFB4AC"/>
    <w:rsid w:val="5F5FC297"/>
    <w:rsid w:val="5F6441DB"/>
    <w:rsid w:val="5FAFE27E"/>
    <w:rsid w:val="5FE9F775"/>
    <w:rsid w:val="5FF3796F"/>
    <w:rsid w:val="5FFFC3BD"/>
    <w:rsid w:val="5FFFD7C6"/>
    <w:rsid w:val="60064219"/>
    <w:rsid w:val="604B3038"/>
    <w:rsid w:val="60A35A6C"/>
    <w:rsid w:val="611D1C60"/>
    <w:rsid w:val="617F7A07"/>
    <w:rsid w:val="61DA1218"/>
    <w:rsid w:val="62EB724D"/>
    <w:rsid w:val="63DEE74A"/>
    <w:rsid w:val="64906F05"/>
    <w:rsid w:val="64D0412F"/>
    <w:rsid w:val="668F467F"/>
    <w:rsid w:val="673E897F"/>
    <w:rsid w:val="67EA73F0"/>
    <w:rsid w:val="683D1FEB"/>
    <w:rsid w:val="684855A0"/>
    <w:rsid w:val="686626D4"/>
    <w:rsid w:val="68D6620B"/>
    <w:rsid w:val="69444545"/>
    <w:rsid w:val="6A2B5179"/>
    <w:rsid w:val="6AA25882"/>
    <w:rsid w:val="6B3B1FB4"/>
    <w:rsid w:val="6BC52AE4"/>
    <w:rsid w:val="6BEACD46"/>
    <w:rsid w:val="6CAA23D4"/>
    <w:rsid w:val="6D7FC0B0"/>
    <w:rsid w:val="6D8B4B4E"/>
    <w:rsid w:val="6DCA449E"/>
    <w:rsid w:val="6DFDD177"/>
    <w:rsid w:val="6E7B4146"/>
    <w:rsid w:val="6EAF6E03"/>
    <w:rsid w:val="6EDE2E54"/>
    <w:rsid w:val="6EFFB78A"/>
    <w:rsid w:val="6F7FE0B2"/>
    <w:rsid w:val="6FA9D784"/>
    <w:rsid w:val="6FDE8CA5"/>
    <w:rsid w:val="701B077F"/>
    <w:rsid w:val="709D061F"/>
    <w:rsid w:val="70FF726D"/>
    <w:rsid w:val="71DE873B"/>
    <w:rsid w:val="71FC2290"/>
    <w:rsid w:val="7291F0DB"/>
    <w:rsid w:val="72F650B2"/>
    <w:rsid w:val="738A079E"/>
    <w:rsid w:val="73B7BE88"/>
    <w:rsid w:val="73C4187C"/>
    <w:rsid w:val="73FFA58D"/>
    <w:rsid w:val="74331133"/>
    <w:rsid w:val="7523723A"/>
    <w:rsid w:val="763136CE"/>
    <w:rsid w:val="76EEF48A"/>
    <w:rsid w:val="76FA588A"/>
    <w:rsid w:val="76FF3F84"/>
    <w:rsid w:val="7758D08C"/>
    <w:rsid w:val="77BFF839"/>
    <w:rsid w:val="77EEFDEF"/>
    <w:rsid w:val="77FC6702"/>
    <w:rsid w:val="784400DC"/>
    <w:rsid w:val="79DF3C73"/>
    <w:rsid w:val="79E57808"/>
    <w:rsid w:val="7A6C530F"/>
    <w:rsid w:val="7B204FC2"/>
    <w:rsid w:val="7B5C3612"/>
    <w:rsid w:val="7B5F72E6"/>
    <w:rsid w:val="7BBD632B"/>
    <w:rsid w:val="7BD774A3"/>
    <w:rsid w:val="7BEF1F78"/>
    <w:rsid w:val="7BF7779F"/>
    <w:rsid w:val="7BFFE76C"/>
    <w:rsid w:val="7BFFF3E2"/>
    <w:rsid w:val="7C724719"/>
    <w:rsid w:val="7C7F1F05"/>
    <w:rsid w:val="7C7FB089"/>
    <w:rsid w:val="7D217FDA"/>
    <w:rsid w:val="7D5F5784"/>
    <w:rsid w:val="7DDAAEA0"/>
    <w:rsid w:val="7DEFDC51"/>
    <w:rsid w:val="7DF5CE91"/>
    <w:rsid w:val="7DFD7D18"/>
    <w:rsid w:val="7DFFC483"/>
    <w:rsid w:val="7E0B59D9"/>
    <w:rsid w:val="7E36B894"/>
    <w:rsid w:val="7E4E2D14"/>
    <w:rsid w:val="7EAB094D"/>
    <w:rsid w:val="7EB2323C"/>
    <w:rsid w:val="7EB305B1"/>
    <w:rsid w:val="7EDF843E"/>
    <w:rsid w:val="7F384236"/>
    <w:rsid w:val="7F3DC9A3"/>
    <w:rsid w:val="7F4D499C"/>
    <w:rsid w:val="7F5589F4"/>
    <w:rsid w:val="7F5B6EA3"/>
    <w:rsid w:val="7F6313F2"/>
    <w:rsid w:val="7F6F1883"/>
    <w:rsid w:val="7FAF304C"/>
    <w:rsid w:val="7FB4DB43"/>
    <w:rsid w:val="7FBA7C9E"/>
    <w:rsid w:val="7FBA99C8"/>
    <w:rsid w:val="7FDF3DB1"/>
    <w:rsid w:val="7FEAAA8A"/>
    <w:rsid w:val="7FF10F84"/>
    <w:rsid w:val="7FF70BAC"/>
    <w:rsid w:val="7FF7B06E"/>
    <w:rsid w:val="7FF7F843"/>
    <w:rsid w:val="7FFAC040"/>
    <w:rsid w:val="7FFF996E"/>
    <w:rsid w:val="7FFFCCB8"/>
    <w:rsid w:val="7FFFFE1B"/>
    <w:rsid w:val="8F360752"/>
    <w:rsid w:val="91CD3A7A"/>
    <w:rsid w:val="9F3F2ADF"/>
    <w:rsid w:val="9FEF258F"/>
    <w:rsid w:val="A3C6E95E"/>
    <w:rsid w:val="A69FECBF"/>
    <w:rsid w:val="A7B35D61"/>
    <w:rsid w:val="AF797646"/>
    <w:rsid w:val="AFEFE93A"/>
    <w:rsid w:val="B5FE470F"/>
    <w:rsid w:val="B6CD7874"/>
    <w:rsid w:val="B7EE16CE"/>
    <w:rsid w:val="B7FD338B"/>
    <w:rsid w:val="BADF671B"/>
    <w:rsid w:val="BBD44CD7"/>
    <w:rsid w:val="BD7D6913"/>
    <w:rsid w:val="BDCA8133"/>
    <w:rsid w:val="BF177E3A"/>
    <w:rsid w:val="BF679A18"/>
    <w:rsid w:val="BF6FF053"/>
    <w:rsid w:val="BF7C5ED8"/>
    <w:rsid w:val="BFBF9F60"/>
    <w:rsid w:val="C7FEFE7F"/>
    <w:rsid w:val="CBB856D7"/>
    <w:rsid w:val="CDF3763A"/>
    <w:rsid w:val="CF5F2D91"/>
    <w:rsid w:val="CFD7E66D"/>
    <w:rsid w:val="CFDB8DB8"/>
    <w:rsid w:val="CFFA3F5B"/>
    <w:rsid w:val="CFFFD3DF"/>
    <w:rsid w:val="D3035483"/>
    <w:rsid w:val="D36F5062"/>
    <w:rsid w:val="D3DF6B00"/>
    <w:rsid w:val="D5DDA6E0"/>
    <w:rsid w:val="D76E05C9"/>
    <w:rsid w:val="D7B3631D"/>
    <w:rsid w:val="D943DEC2"/>
    <w:rsid w:val="D959182C"/>
    <w:rsid w:val="D9DCF1AC"/>
    <w:rsid w:val="D9FF08E1"/>
    <w:rsid w:val="D9FF655A"/>
    <w:rsid w:val="DAAB6B52"/>
    <w:rsid w:val="DB79F784"/>
    <w:rsid w:val="DB7F8A62"/>
    <w:rsid w:val="DBBCDAF1"/>
    <w:rsid w:val="DBF5BAC0"/>
    <w:rsid w:val="DBFD80E5"/>
    <w:rsid w:val="DC1DF54A"/>
    <w:rsid w:val="DCBD4A23"/>
    <w:rsid w:val="DF397255"/>
    <w:rsid w:val="DF7F632E"/>
    <w:rsid w:val="DF7FE5CC"/>
    <w:rsid w:val="DFD7C338"/>
    <w:rsid w:val="DFEB15EC"/>
    <w:rsid w:val="DFEE9A9A"/>
    <w:rsid w:val="DFF714BA"/>
    <w:rsid w:val="E2FFB03D"/>
    <w:rsid w:val="E3BFDF3B"/>
    <w:rsid w:val="E3F52F23"/>
    <w:rsid w:val="E3FA2828"/>
    <w:rsid w:val="E5FF7D21"/>
    <w:rsid w:val="E674BA1C"/>
    <w:rsid w:val="E7BB30F6"/>
    <w:rsid w:val="E8EF4FDE"/>
    <w:rsid w:val="EAAEBF21"/>
    <w:rsid w:val="EAEF19F0"/>
    <w:rsid w:val="EB7B412C"/>
    <w:rsid w:val="ECE697C3"/>
    <w:rsid w:val="ECEFF6DB"/>
    <w:rsid w:val="EDF74033"/>
    <w:rsid w:val="EE3E18B3"/>
    <w:rsid w:val="EEB53235"/>
    <w:rsid w:val="EF5E8ED7"/>
    <w:rsid w:val="EF7720DA"/>
    <w:rsid w:val="EF7F7EB0"/>
    <w:rsid w:val="EFDF45C3"/>
    <w:rsid w:val="EFFA2A8E"/>
    <w:rsid w:val="F3BF0E9B"/>
    <w:rsid w:val="F3DF3520"/>
    <w:rsid w:val="F3FF20CA"/>
    <w:rsid w:val="F46BF3A4"/>
    <w:rsid w:val="F57E1D57"/>
    <w:rsid w:val="F5FDC52D"/>
    <w:rsid w:val="F5FDF3EE"/>
    <w:rsid w:val="F5FFE7E9"/>
    <w:rsid w:val="F64ECC05"/>
    <w:rsid w:val="F6A73425"/>
    <w:rsid w:val="F6DB79AB"/>
    <w:rsid w:val="F737CD17"/>
    <w:rsid w:val="F7755C8F"/>
    <w:rsid w:val="F7AB02EE"/>
    <w:rsid w:val="F7B7E7DB"/>
    <w:rsid w:val="F7BCBA63"/>
    <w:rsid w:val="F7F70028"/>
    <w:rsid w:val="F7F9D09A"/>
    <w:rsid w:val="F7FBEA30"/>
    <w:rsid w:val="F87F0C56"/>
    <w:rsid w:val="F97FC822"/>
    <w:rsid w:val="F99FF26F"/>
    <w:rsid w:val="F99FF283"/>
    <w:rsid w:val="F9D35EA6"/>
    <w:rsid w:val="F9EB430A"/>
    <w:rsid w:val="F9FF95EF"/>
    <w:rsid w:val="FADA0648"/>
    <w:rsid w:val="FB393B27"/>
    <w:rsid w:val="FB9E15CF"/>
    <w:rsid w:val="FB9F985A"/>
    <w:rsid w:val="FBCF9435"/>
    <w:rsid w:val="FBEE41A1"/>
    <w:rsid w:val="FBEEFB06"/>
    <w:rsid w:val="FDD68609"/>
    <w:rsid w:val="FDED8032"/>
    <w:rsid w:val="FDED8794"/>
    <w:rsid w:val="FDFDC99D"/>
    <w:rsid w:val="FEF95803"/>
    <w:rsid w:val="FEFED78E"/>
    <w:rsid w:val="FEFF444B"/>
    <w:rsid w:val="FEFF99D8"/>
    <w:rsid w:val="FF676190"/>
    <w:rsid w:val="FF6E5414"/>
    <w:rsid w:val="FF7C216A"/>
    <w:rsid w:val="FF7FD486"/>
    <w:rsid w:val="FF9D6C89"/>
    <w:rsid w:val="FFBDE030"/>
    <w:rsid w:val="FFC7AD9C"/>
    <w:rsid w:val="FFECAC36"/>
    <w:rsid w:val="FFEF7F05"/>
    <w:rsid w:val="FFF7EF4F"/>
    <w:rsid w:val="FFFA531B"/>
    <w:rsid w:val="FFFBA0CC"/>
    <w:rsid w:val="FFFBDC6A"/>
    <w:rsid w:val="FFFDABAF"/>
    <w:rsid w:val="FFFF03E1"/>
    <w:rsid w:val="FFFF57BC"/>
    <w:rsid w:val="FFFF83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8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4"/>
    <w:next w:val="4"/>
    <w:qFormat/>
    <w:uiPriority w:val="0"/>
    <w:pPr>
      <w:spacing w:before="100" w:beforeAutospacing="1" w:after="100" w:afterAutospacing="1"/>
      <w:ind w:firstLine="640"/>
      <w:jc w:val="left"/>
    </w:pPr>
    <w:rPr>
      <w:rFonts w:ascii="Times New Roman" w:hAnsi="Times New Roman" w:eastAsia="黑体" w:cs="Times New Roman"/>
      <w:b w:val="0"/>
      <w:szCs w:val="32"/>
      <w:highlight w:val="none"/>
      <w:u w:val="none"/>
    </w:rPr>
  </w:style>
  <w:style w:type="paragraph" w:styleId="5">
    <w:name w:val="heading 2"/>
    <w:basedOn w:val="1"/>
    <w:next w:val="1"/>
    <w:unhideWhenUsed/>
    <w:qFormat/>
    <w:uiPriority w:val="0"/>
    <w:pPr>
      <w:keepLines/>
      <w:spacing w:line="560" w:lineRule="exact"/>
      <w:jc w:val="both"/>
      <w:outlineLvl w:val="1"/>
    </w:pPr>
    <w:rPr>
      <w:rFonts w:ascii="Times New Roman" w:hAnsi="Times New Roman" w:eastAsia="楷体" w:cs="Times New Roman"/>
      <w:bCs/>
      <w:kern w:val="2"/>
      <w:szCs w:val="32"/>
      <w:highlight w:val="none"/>
      <w:u w:val="none"/>
      <w:lang w:bidi="ar-SA"/>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rFonts w:ascii="仿宋_GB2312" w:hAnsi="仿宋_GB2312"/>
      <w:b/>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hint="default" w:ascii="Times New Roman" w:hAnsi="Times New Roman" w:eastAsia="宋体" w:cs="Times New Roman"/>
      <w:sz w:val="21"/>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Body Text"/>
    <w:basedOn w:val="1"/>
    <w:next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jc w:val="right"/>
    </w:pPr>
    <w:rPr>
      <w:sz w:val="32"/>
      <w:szCs w:val="32"/>
    </w:rPr>
  </w:style>
  <w:style w:type="paragraph" w:styleId="12">
    <w:name w:val="toc 2"/>
    <w:basedOn w:val="1"/>
    <w:next w:val="1"/>
    <w:qFormat/>
    <w:uiPriority w:val="0"/>
    <w:pPr>
      <w:ind w:left="420" w:leftChars="200"/>
    </w:pPr>
  </w:style>
  <w:style w:type="character" w:customStyle="1" w:styleId="15">
    <w:name w:val="表格"/>
    <w:basedOn w:val="14"/>
    <w:qFormat/>
    <w:uiPriority w:val="0"/>
    <w:rPr>
      <w:rFonts w:hint="eastAsia" w:ascii="Times New Roman" w:hAnsi="Times New Roman" w:eastAsia="仿宋_GB2312" w:cs="宋体"/>
      <w:color w:val="000000"/>
      <w:sz w:val="24"/>
      <w:szCs w:val="22"/>
      <w:u w:val="none"/>
    </w:rPr>
  </w:style>
  <w:style w:type="character" w:customStyle="1" w:styleId="16">
    <w:name w:val="font11"/>
    <w:basedOn w:val="14"/>
    <w:qFormat/>
    <w:uiPriority w:val="0"/>
    <w:rPr>
      <w:rFonts w:hint="eastAsia" w:ascii="仿宋_GB2312" w:eastAsia="仿宋_GB2312" w:cs="仿宋_GB2312"/>
      <w:color w:val="000000"/>
      <w:sz w:val="24"/>
      <w:szCs w:val="24"/>
      <w:u w:val="none"/>
    </w:rPr>
  </w:style>
  <w:style w:type="character" w:customStyle="1" w:styleId="17">
    <w:name w:val="font21"/>
    <w:basedOn w:val="14"/>
    <w:qFormat/>
    <w:uiPriority w:val="0"/>
    <w:rPr>
      <w:rFonts w:hint="eastAsia" w:ascii="仿宋_GB2312" w:eastAsia="仿宋_GB2312" w:cs="仿宋_GB2312"/>
      <w:b/>
      <w:bCs/>
      <w:color w:val="000000"/>
      <w:sz w:val="24"/>
      <w:szCs w:val="24"/>
      <w:u w:val="none"/>
    </w:rPr>
  </w:style>
  <w:style w:type="character" w:customStyle="1" w:styleId="18">
    <w:name w:val="font31"/>
    <w:basedOn w:val="14"/>
    <w:qFormat/>
    <w:uiPriority w:val="0"/>
    <w:rPr>
      <w:rFonts w:ascii="仿宋_GB2312" w:hAnsi="仿宋_GB2312" w:eastAsia="仿宋_GB2312" w:cs="仿宋_GB2312"/>
      <w:b/>
      <w:bCs/>
      <w:color w:val="000000"/>
      <w:sz w:val="24"/>
      <w:szCs w:val="24"/>
      <w:u w:val="none"/>
    </w:rPr>
  </w:style>
  <w:style w:type="paragraph" w:customStyle="1" w:styleId="19">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character" w:customStyle="1" w:styleId="20">
    <w:name w:val="font41"/>
    <w:basedOn w:val="14"/>
    <w:qFormat/>
    <w:uiPriority w:val="0"/>
    <w:rPr>
      <w:rFonts w:hint="eastAsia" w:ascii="宋体" w:hAnsi="宋体" w:eastAsia="宋体" w:cs="宋体"/>
      <w:color w:val="000000"/>
      <w:sz w:val="24"/>
      <w:szCs w:val="24"/>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报告二级标题"/>
    <w:next w:val="24"/>
    <w:qFormat/>
    <w:uiPriority w:val="0"/>
    <w:pPr>
      <w:adjustRightInd w:val="0"/>
      <w:snapToGrid w:val="0"/>
      <w:spacing w:line="560" w:lineRule="exact"/>
      <w:ind w:firstLine="600" w:firstLineChars="200"/>
      <w:outlineLvl w:val="1"/>
    </w:pPr>
    <w:rPr>
      <w:rFonts w:ascii="仿宋" w:hAnsi="仿宋" w:eastAsia="楷体" w:cstheme="minorBidi"/>
      <w:b/>
      <w:kern w:val="2"/>
      <w:sz w:val="32"/>
      <w:szCs w:val="30"/>
      <w:lang w:val="en-US" w:eastAsia="zh-CN" w:bidi="ar-SA"/>
    </w:rPr>
  </w:style>
  <w:style w:type="paragraph" w:customStyle="1" w:styleId="24">
    <w:name w:val="报告正文"/>
    <w:qFormat/>
    <w:uiPriority w:val="0"/>
    <w:pPr>
      <w:adjustRightInd w:val="0"/>
      <w:snapToGrid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paragraph" w:customStyle="1" w:styleId="25">
    <w:name w:val="报告一级标题"/>
    <w:basedOn w:val="24"/>
    <w:next w:val="24"/>
    <w:qFormat/>
    <w:uiPriority w:val="0"/>
    <w:pPr>
      <w:outlineLvl w:val="0"/>
    </w:pPr>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8723</Words>
  <Characters>9344</Characters>
  <Lines>0</Lines>
  <Paragraphs>0</Paragraphs>
  <TotalTime>10</TotalTime>
  <ScaleCrop>false</ScaleCrop>
  <LinksUpToDate>false</LinksUpToDate>
  <CharactersWithSpaces>9453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2024-07-24T23:50:00Z</dcterms:created>
  <dc:creator>。</dc:creator>
  <cp:lastModifiedBy>三更半夜</cp:lastModifiedBy>
  <cp:lastPrinted>2024-09-16T16:46:00Z</cp:lastPrinted>
  <dcterms:modified xsi:type="dcterms:W3CDTF">2024-09-30T10:19:02Z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52B78DD3C1AE466DB08BAF9A07D9F0D6</vt:lpwstr>
  </property>
</Properties>
</file>